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225D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225D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225D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225D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225D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225D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225D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225D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225D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225D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225D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225D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225D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225D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225D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225D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225D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225D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225D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225D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225D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225D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w:t>
        </w:r>
        <w:r w:rsidR="00DD3144" w:rsidRPr="004B5035">
          <w:rPr>
            <w:rStyle w:val="Hyperlink"/>
            <w:noProof/>
          </w:rPr>
          <w:t>r</w:t>
        </w:r>
        <w:r w:rsidR="00DD3144" w:rsidRPr="004B5035">
          <w:rPr>
            <w:rStyle w:val="Hyperlink"/>
            <w:noProof/>
          </w:rPr>
          <w:t>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225D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225D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225D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225D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225D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225D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225D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225D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225D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225D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225D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225D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225D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225D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225D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225D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225D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225D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225D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225D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225D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225D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225D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225D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6119CFD" w:rsidR="00093CA9" w:rsidRDefault="00210CE0" w:rsidP="00093CA9">
            <w:r w:rsidRPr="00210CE0">
              <w:t>Regulation (EU) 2023/956 of the European Parliament and of the Council of 10 May 2023 establishing a carbon border adjustment mechanism (“CBAM Regulation”)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C7D1232" w:rsidR="00093CA9" w:rsidRDefault="00D225DD" w:rsidP="00093CA9">
            <w:hyperlink r:id="rId17" w:history="1">
              <w:r w:rsidR="00B653B4" w:rsidRPr="00B653B4">
                <w:rPr>
                  <w:rStyle w:val="Hyperlink"/>
                </w:rPr>
                <w:t xml:space="preserve">Regulation - 2023/956 - EN - </w:t>
              </w:r>
              <w:proofErr w:type="spellStart"/>
              <w:r w:rsidR="00B653B4" w:rsidRPr="00B653B4">
                <w:rPr>
                  <w:rStyle w:val="Hyperlink"/>
                </w:rPr>
                <w:t>cbam</w:t>
              </w:r>
              <w:proofErr w:type="spellEnd"/>
              <w:r w:rsidR="00B653B4" w:rsidRPr="00B653B4">
                <w:rPr>
                  <w:rStyle w:val="Hyperlink"/>
                </w:rPr>
                <w:t xml:space="preserve"> regulation - EUR-Lex</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B077ED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912A317" w:rsidR="00093CA9" w:rsidRDefault="00210CE0"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80D8D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F6BF55C" w14:textId="24190E72" w:rsidR="00881B8C" w:rsidRPr="00881B8C" w:rsidRDefault="00881B8C" w:rsidP="00881B8C">
            <w:r w:rsidRPr="00881B8C">
              <w:t xml:space="preserve">This Regulation establishes a carbon border adjustment mechanism (the ‘CBAM’) to address greenhouse gas emissions </w:t>
            </w:r>
            <w:r w:rsidR="007C7C5D">
              <w:t xml:space="preserve">related to </w:t>
            </w:r>
            <w:r w:rsidRPr="00881B8C">
              <w:t xml:space="preserve">goods on their importation into the customs territory of the Union </w:t>
            </w:r>
            <w:proofErr w:type="gramStart"/>
            <w:r w:rsidRPr="00881B8C">
              <w:t>in order to</w:t>
            </w:r>
            <w:proofErr w:type="gramEnd"/>
            <w:r w:rsidRPr="00881B8C">
              <w:t xml:space="preserve"> prevent the risk of carbon leakage, thereby reducing global carbon emissions and supporting the goals of the Paris Agreement, also by creating incentives for the reduction of emissions by operators in third countries.</w:t>
            </w:r>
            <w:r w:rsidR="003D5DDB">
              <w:t xml:space="preserve"> </w:t>
            </w:r>
            <w:r w:rsidRPr="00881B8C">
              <w:t>The CBAM complements the system for greenhouse gas emission allowance trading within the Union established under Directive 2003/87/EC (the ‘EU ETS’) by applying an equivalent set of rules to imports into the customs territory of the Union of the goods referred to in Article 2 of this Regulation.</w:t>
            </w:r>
            <w:r w:rsidR="003D5DDB">
              <w:t xml:space="preserve"> </w:t>
            </w:r>
            <w:r w:rsidRPr="00881B8C">
              <w:t>The CBAM is set to replace the mechanisms established under Directive 2003/87/EC to prevent the risk of carbon leakage by reflecting the extent to which EU ETS allowances are allocated free of charge in accordance with Article 10a of that Directive</w:t>
            </w:r>
            <w:r w:rsidR="003D5DDB">
              <w:t xml:space="preserve"> (Article 1)</w:t>
            </w:r>
            <w:r w:rsidR="00596C51">
              <w:t>.</w:t>
            </w:r>
          </w:p>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786E454" w:rsidR="00093CA9" w:rsidRDefault="003A6A2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F7AA78C" w:rsidR="00093CA9" w:rsidRPr="00173D7C" w:rsidRDefault="0018570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2BECD9D" w:rsidR="00093CA9" w:rsidRPr="00173D7C" w:rsidRDefault="001E5E45"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3D706187" w14:textId="1F4B8C6E" w:rsidR="003E6821" w:rsidRPr="003E6821" w:rsidRDefault="003E6821" w:rsidP="003E6821">
            <w:pPr>
              <w:rPr>
                <w:color w:val="000000" w:themeColor="text1"/>
              </w:rPr>
            </w:pPr>
            <w:r>
              <w:rPr>
                <w:color w:val="000000" w:themeColor="text1"/>
              </w:rPr>
              <w:t>The regulation applies from</w:t>
            </w:r>
            <w:r w:rsidRPr="003E6821">
              <w:rPr>
                <w:color w:val="000000" w:themeColor="text1"/>
              </w:rPr>
              <w:t xml:space="preserve"> October</w:t>
            </w:r>
            <w:r w:rsidR="00191C5B">
              <w:rPr>
                <w:color w:val="000000" w:themeColor="text1"/>
              </w:rPr>
              <w:t xml:space="preserve"> 1</w:t>
            </w:r>
            <w:r w:rsidR="00191C5B" w:rsidRPr="00191C5B">
              <w:rPr>
                <w:color w:val="000000" w:themeColor="text1"/>
                <w:vertAlign w:val="superscript"/>
              </w:rPr>
              <w:t>st</w:t>
            </w:r>
            <w:r w:rsidR="00191C5B">
              <w:rPr>
                <w:color w:val="000000" w:themeColor="text1"/>
              </w:rPr>
              <w:t>,</w:t>
            </w:r>
            <w:r w:rsidRPr="003E6821">
              <w:rPr>
                <w:color w:val="000000" w:themeColor="text1"/>
              </w:rPr>
              <w:t xml:space="preserve"> 2023. However:</w:t>
            </w:r>
          </w:p>
          <w:p w14:paraId="24883319" w14:textId="7076F0D0" w:rsidR="00F13149" w:rsidRDefault="003E6821" w:rsidP="003E6821">
            <w:pPr>
              <w:pStyle w:val="ListParagraph"/>
              <w:numPr>
                <w:ilvl w:val="0"/>
                <w:numId w:val="49"/>
              </w:numPr>
              <w:rPr>
                <w:color w:val="000000" w:themeColor="text1"/>
              </w:rPr>
            </w:pPr>
            <w:r w:rsidRPr="006A4548">
              <w:rPr>
                <w:color w:val="000000" w:themeColor="text1"/>
              </w:rPr>
              <w:t xml:space="preserve">Articles 5, 10, 14, 16 and 17 apply from December </w:t>
            </w:r>
            <w:r w:rsidR="00191C5B" w:rsidRPr="006A4548">
              <w:rPr>
                <w:color w:val="000000" w:themeColor="text1"/>
              </w:rPr>
              <w:t>31</w:t>
            </w:r>
            <w:r w:rsidR="00191C5B" w:rsidRPr="00191C5B">
              <w:rPr>
                <w:color w:val="000000" w:themeColor="text1"/>
                <w:vertAlign w:val="superscript"/>
              </w:rPr>
              <w:t>st</w:t>
            </w:r>
            <w:r w:rsidR="00191C5B">
              <w:rPr>
                <w:color w:val="000000" w:themeColor="text1"/>
              </w:rPr>
              <w:t xml:space="preserve">, </w:t>
            </w:r>
            <w:r w:rsidR="00191C5B" w:rsidRPr="006A4548">
              <w:rPr>
                <w:color w:val="000000" w:themeColor="text1"/>
              </w:rPr>
              <w:t>2024.</w:t>
            </w:r>
          </w:p>
          <w:p w14:paraId="2A92C700" w14:textId="77777777" w:rsidR="00093CA9" w:rsidRDefault="003E6821" w:rsidP="003E6821">
            <w:pPr>
              <w:pStyle w:val="ListParagraph"/>
              <w:numPr>
                <w:ilvl w:val="0"/>
                <w:numId w:val="49"/>
              </w:numPr>
              <w:rPr>
                <w:color w:val="000000" w:themeColor="text1"/>
              </w:rPr>
            </w:pPr>
            <w:r w:rsidRPr="00F13149">
              <w:rPr>
                <w:color w:val="000000" w:themeColor="text1"/>
              </w:rPr>
              <w:t xml:space="preserve">Article 2(2) and Articles 4, 6 to 9, 15 and 19, Article 20(1), (3), (4) and (5), Articles 21 to 27 and 31 shall apply from January </w:t>
            </w:r>
            <w:r w:rsidR="00191C5B" w:rsidRPr="00F13149">
              <w:rPr>
                <w:color w:val="000000" w:themeColor="text1"/>
              </w:rPr>
              <w:t>1</w:t>
            </w:r>
            <w:r w:rsidR="00191C5B" w:rsidRPr="00191C5B">
              <w:rPr>
                <w:color w:val="000000" w:themeColor="text1"/>
                <w:vertAlign w:val="superscript"/>
              </w:rPr>
              <w:t>st</w:t>
            </w:r>
            <w:r w:rsidR="00191C5B">
              <w:rPr>
                <w:color w:val="000000" w:themeColor="text1"/>
              </w:rPr>
              <w:t xml:space="preserve">, </w:t>
            </w:r>
            <w:r w:rsidRPr="00F13149">
              <w:rPr>
                <w:color w:val="000000" w:themeColor="text1"/>
              </w:rPr>
              <w:t>2026.</w:t>
            </w:r>
          </w:p>
          <w:p w14:paraId="1A1B9D26" w14:textId="17511E26" w:rsidR="001E522F" w:rsidRPr="001E522F" w:rsidRDefault="00A34751" w:rsidP="001E522F">
            <w:pPr>
              <w:rPr>
                <w:color w:val="000000" w:themeColor="text1"/>
              </w:rPr>
            </w:pPr>
            <w:r w:rsidRPr="00A34751">
              <w:rPr>
                <w:color w:val="000000" w:themeColor="text1"/>
              </w:rPr>
              <w:t>During the transitional period from October</w:t>
            </w:r>
            <w:r w:rsidR="006D0B19">
              <w:rPr>
                <w:color w:val="000000" w:themeColor="text1"/>
              </w:rPr>
              <w:t xml:space="preserve"> 1</w:t>
            </w:r>
            <w:r w:rsidR="006D0B19" w:rsidRPr="006D0B19">
              <w:rPr>
                <w:color w:val="000000" w:themeColor="text1"/>
                <w:vertAlign w:val="superscript"/>
              </w:rPr>
              <w:t>st</w:t>
            </w:r>
            <w:r w:rsidR="006D0B19">
              <w:rPr>
                <w:color w:val="000000" w:themeColor="text1"/>
              </w:rPr>
              <w:t>,</w:t>
            </w:r>
            <w:r w:rsidRPr="00A34751">
              <w:rPr>
                <w:color w:val="000000" w:themeColor="text1"/>
              </w:rPr>
              <w:t xml:space="preserve"> </w:t>
            </w:r>
            <w:proofErr w:type="gramStart"/>
            <w:r w:rsidRPr="00A34751">
              <w:rPr>
                <w:color w:val="000000" w:themeColor="text1"/>
              </w:rPr>
              <w:t>2023</w:t>
            </w:r>
            <w:proofErr w:type="gramEnd"/>
            <w:r w:rsidRPr="00A34751">
              <w:rPr>
                <w:color w:val="000000" w:themeColor="text1"/>
              </w:rPr>
              <w:t xml:space="preserve"> until December</w:t>
            </w:r>
            <w:r w:rsidR="006D0B19">
              <w:rPr>
                <w:color w:val="000000" w:themeColor="text1"/>
              </w:rPr>
              <w:t xml:space="preserve"> </w:t>
            </w:r>
            <w:r w:rsidR="006D0B19" w:rsidRPr="00A34751">
              <w:rPr>
                <w:color w:val="000000" w:themeColor="text1"/>
              </w:rPr>
              <w:t>31</w:t>
            </w:r>
            <w:r w:rsidR="006D0B19" w:rsidRPr="006D0B19">
              <w:rPr>
                <w:color w:val="000000" w:themeColor="text1"/>
                <w:vertAlign w:val="superscript"/>
              </w:rPr>
              <w:t>st</w:t>
            </w:r>
            <w:r w:rsidR="006D0B19">
              <w:rPr>
                <w:color w:val="000000" w:themeColor="text1"/>
              </w:rPr>
              <w:t>,</w:t>
            </w:r>
            <w:r w:rsidRPr="00A34751">
              <w:rPr>
                <w:color w:val="000000" w:themeColor="text1"/>
              </w:rPr>
              <w:t xml:space="preserve"> 2025, the obligations of the importer under this Regulation </w:t>
            </w:r>
            <w:r>
              <w:rPr>
                <w:color w:val="000000" w:themeColor="text1"/>
              </w:rPr>
              <w:t xml:space="preserve">are </w:t>
            </w:r>
            <w:r w:rsidRPr="00A34751">
              <w:rPr>
                <w:color w:val="000000" w:themeColor="text1"/>
              </w:rPr>
              <w:t>limited to the reporting obligations set out in Articles 33, 34 and 35 of this Regulation</w:t>
            </w:r>
            <w:r w:rsidR="007867C2">
              <w:rPr>
                <w:color w:val="000000" w:themeColor="text1"/>
              </w:rPr>
              <w:t xml:space="preserve"> (Article 32).</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7F17F0" w14:paraId="3D95EBA4" w14:textId="77777777" w:rsidTr="2452D0D6">
        <w:trPr>
          <w:trHeight w:val="533"/>
        </w:trPr>
        <w:tc>
          <w:tcPr>
            <w:tcW w:w="1063" w:type="dxa"/>
            <w:vAlign w:val="center"/>
          </w:tcPr>
          <w:p w14:paraId="770E445F" w14:textId="77777777" w:rsidR="007F17F0" w:rsidRPr="00BA1D39" w:rsidRDefault="007F17F0" w:rsidP="007F17F0">
            <w:pPr>
              <w:rPr>
                <w:b/>
                <w:bCs/>
              </w:rPr>
            </w:pPr>
          </w:p>
        </w:tc>
        <w:tc>
          <w:tcPr>
            <w:tcW w:w="9169" w:type="dxa"/>
            <w:gridSpan w:val="4"/>
            <w:shd w:val="clear" w:color="auto" w:fill="auto"/>
            <w:vAlign w:val="center"/>
          </w:tcPr>
          <w:p w14:paraId="7961F236" w14:textId="78FF3F83" w:rsidR="007F17F0" w:rsidRDefault="007F17F0" w:rsidP="007F17F0">
            <w:r w:rsidRPr="00B12BC0">
              <w:t>European Union (The European Parliament and the Council of the European Union jointly adopt EU regulations through the ordinary legislative procedure, based on a proposal from the European Commission). </w:t>
            </w:r>
          </w:p>
        </w:tc>
      </w:tr>
      <w:tr w:rsidR="007F17F0" w:rsidRPr="006B7B0D" w14:paraId="5375EB04" w14:textId="77777777" w:rsidTr="2452D0D6">
        <w:tc>
          <w:tcPr>
            <w:tcW w:w="1063" w:type="dxa"/>
            <w:vAlign w:val="center"/>
          </w:tcPr>
          <w:p w14:paraId="3B7DCD51" w14:textId="77777777" w:rsidR="007F17F0" w:rsidRPr="006B7B0D" w:rsidRDefault="007F17F0" w:rsidP="007F17F0">
            <w:pPr>
              <w:rPr>
                <w:b/>
                <w:bCs/>
              </w:rPr>
            </w:pPr>
            <w:r w:rsidRPr="006B7B0D">
              <w:rPr>
                <w:b/>
                <w:bCs/>
              </w:rPr>
              <w:t>14.1</w:t>
            </w:r>
          </w:p>
        </w:tc>
        <w:tc>
          <w:tcPr>
            <w:tcW w:w="9169" w:type="dxa"/>
            <w:gridSpan w:val="4"/>
            <w:shd w:val="clear" w:color="auto" w:fill="DEEAF6" w:themeFill="accent5" w:themeFillTint="33"/>
            <w:vAlign w:val="center"/>
          </w:tcPr>
          <w:p w14:paraId="643A74FD" w14:textId="77777777" w:rsidR="007F17F0" w:rsidRDefault="007F17F0" w:rsidP="007F17F0">
            <w:r w:rsidRPr="006B7B0D">
              <w:t>Name the authority responsible for overseeing implementation and/or enforcement. In the case of EU regulation, limit answers to EU (i.e. supranational) authorities.</w:t>
            </w:r>
          </w:p>
          <w:p w14:paraId="31A70293" w14:textId="77777777" w:rsidR="007F17F0" w:rsidRDefault="007F17F0" w:rsidP="007F17F0"/>
          <w:p w14:paraId="6F1A941F" w14:textId="77777777" w:rsidR="007F17F0" w:rsidRPr="00543246" w:rsidRDefault="007F17F0" w:rsidP="007F17F0">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7F17F0" w:rsidRPr="006B7B0D" w:rsidRDefault="007F17F0" w:rsidP="007F17F0"/>
        </w:tc>
      </w:tr>
      <w:tr w:rsidR="007F17F0" w:rsidRPr="006B7B0D" w14:paraId="2A7CB192" w14:textId="77777777" w:rsidTr="2452D0D6">
        <w:trPr>
          <w:trHeight w:val="533"/>
        </w:trPr>
        <w:tc>
          <w:tcPr>
            <w:tcW w:w="1063" w:type="dxa"/>
            <w:vAlign w:val="center"/>
          </w:tcPr>
          <w:p w14:paraId="6DC5D06B" w14:textId="77777777" w:rsidR="007F17F0" w:rsidRPr="006B7B0D" w:rsidRDefault="007F17F0" w:rsidP="007F17F0"/>
        </w:tc>
        <w:tc>
          <w:tcPr>
            <w:tcW w:w="9169" w:type="dxa"/>
            <w:gridSpan w:val="4"/>
            <w:vAlign w:val="center"/>
          </w:tcPr>
          <w:p w14:paraId="58D97C26" w14:textId="7E9AC6AF" w:rsidR="007F17F0" w:rsidRPr="006B7B0D" w:rsidRDefault="00075C46" w:rsidP="007F17F0">
            <w:r w:rsidRPr="00075C46">
              <w:t xml:space="preserve">The European Commission is the main EU authority responsible for enforcing the Carbon Border Adjustment Mechanism (CBAM). </w:t>
            </w:r>
          </w:p>
        </w:tc>
      </w:tr>
      <w:tr w:rsidR="007F17F0" w:rsidRPr="006B7B0D" w14:paraId="2F387FFB" w14:textId="77777777" w:rsidTr="2452D0D6">
        <w:trPr>
          <w:trHeight w:val="63"/>
        </w:trPr>
        <w:tc>
          <w:tcPr>
            <w:tcW w:w="1063" w:type="dxa"/>
            <w:vAlign w:val="center"/>
          </w:tcPr>
          <w:p w14:paraId="0CB4F9DF" w14:textId="77777777" w:rsidR="007F17F0" w:rsidRPr="006B7B0D" w:rsidRDefault="007F17F0" w:rsidP="007F17F0">
            <w:r w:rsidRPr="006B7B0D">
              <w:t>14.1.1</w:t>
            </w:r>
          </w:p>
        </w:tc>
        <w:tc>
          <w:tcPr>
            <w:tcW w:w="9169" w:type="dxa"/>
            <w:gridSpan w:val="4"/>
            <w:shd w:val="clear" w:color="auto" w:fill="DEEAF6" w:themeFill="accent5" w:themeFillTint="33"/>
            <w:vAlign w:val="center"/>
          </w:tcPr>
          <w:p w14:paraId="15E28C99" w14:textId="77777777" w:rsidR="007F17F0" w:rsidRPr="006B7B0D" w:rsidRDefault="007F17F0" w:rsidP="007F17F0">
            <w:r w:rsidRPr="006B7B0D">
              <w:t>To provide contextual information, indicate the extent to which this authority is perceived as having the capacity to undertake this work. Select the appropriate response using an X.</w:t>
            </w:r>
          </w:p>
        </w:tc>
      </w:tr>
      <w:tr w:rsidR="007F17F0" w:rsidRPr="006B7B0D" w14:paraId="7BA44055" w14:textId="77777777" w:rsidTr="2452D0D6">
        <w:trPr>
          <w:trHeight w:val="63"/>
        </w:trPr>
        <w:tc>
          <w:tcPr>
            <w:tcW w:w="1063" w:type="dxa"/>
            <w:vAlign w:val="center"/>
          </w:tcPr>
          <w:p w14:paraId="25929514" w14:textId="77777777" w:rsidR="007F17F0" w:rsidRPr="006B7B0D" w:rsidRDefault="007F17F0" w:rsidP="007F17F0">
            <w:r w:rsidRPr="006B7B0D">
              <w:t>14.1.1.1</w:t>
            </w:r>
          </w:p>
        </w:tc>
        <w:tc>
          <w:tcPr>
            <w:tcW w:w="4771" w:type="dxa"/>
            <w:gridSpan w:val="3"/>
            <w:shd w:val="clear" w:color="auto" w:fill="E2EFD9" w:themeFill="accent6" w:themeFillTint="33"/>
            <w:vAlign w:val="center"/>
          </w:tcPr>
          <w:p w14:paraId="036DF264" w14:textId="77777777" w:rsidR="007F17F0" w:rsidRPr="006B7B0D" w:rsidRDefault="007F17F0" w:rsidP="007F17F0">
            <w:r w:rsidRPr="006B7B0D">
              <w:t>No capacity</w:t>
            </w:r>
          </w:p>
        </w:tc>
        <w:tc>
          <w:tcPr>
            <w:tcW w:w="4398" w:type="dxa"/>
            <w:shd w:val="clear" w:color="auto" w:fill="auto"/>
            <w:vAlign w:val="center"/>
          </w:tcPr>
          <w:p w14:paraId="2BF89CCD" w14:textId="77777777" w:rsidR="007F17F0" w:rsidRPr="006B7B0D" w:rsidRDefault="007F17F0" w:rsidP="007F17F0"/>
        </w:tc>
      </w:tr>
      <w:tr w:rsidR="007F17F0" w:rsidRPr="006B7B0D" w14:paraId="39BA7EDD" w14:textId="77777777" w:rsidTr="2452D0D6">
        <w:trPr>
          <w:trHeight w:val="63"/>
        </w:trPr>
        <w:tc>
          <w:tcPr>
            <w:tcW w:w="1063" w:type="dxa"/>
            <w:vAlign w:val="center"/>
          </w:tcPr>
          <w:p w14:paraId="6744F13E" w14:textId="77777777" w:rsidR="007F17F0" w:rsidRPr="006B7B0D" w:rsidRDefault="007F17F0" w:rsidP="007F17F0">
            <w:r w:rsidRPr="006B7B0D">
              <w:t>14.1.1.2</w:t>
            </w:r>
          </w:p>
        </w:tc>
        <w:tc>
          <w:tcPr>
            <w:tcW w:w="4771" w:type="dxa"/>
            <w:gridSpan w:val="3"/>
            <w:shd w:val="clear" w:color="auto" w:fill="E2EFD9" w:themeFill="accent6" w:themeFillTint="33"/>
            <w:vAlign w:val="center"/>
          </w:tcPr>
          <w:p w14:paraId="5AE7B4CF" w14:textId="77777777" w:rsidR="007F17F0" w:rsidRPr="006B7B0D" w:rsidRDefault="007F17F0" w:rsidP="007F17F0">
            <w:r w:rsidRPr="006B7B0D">
              <w:t>Low capacity</w:t>
            </w:r>
          </w:p>
        </w:tc>
        <w:tc>
          <w:tcPr>
            <w:tcW w:w="4398" w:type="dxa"/>
            <w:shd w:val="clear" w:color="auto" w:fill="auto"/>
            <w:vAlign w:val="center"/>
          </w:tcPr>
          <w:p w14:paraId="06104883" w14:textId="77777777" w:rsidR="007F17F0" w:rsidRPr="006B7B0D" w:rsidRDefault="007F17F0" w:rsidP="007F17F0"/>
        </w:tc>
      </w:tr>
      <w:tr w:rsidR="007F17F0" w:rsidRPr="006B7B0D" w14:paraId="2B9A716F" w14:textId="77777777" w:rsidTr="2452D0D6">
        <w:trPr>
          <w:trHeight w:val="63"/>
        </w:trPr>
        <w:tc>
          <w:tcPr>
            <w:tcW w:w="1063" w:type="dxa"/>
            <w:vAlign w:val="center"/>
          </w:tcPr>
          <w:p w14:paraId="42A1C3BE" w14:textId="77777777" w:rsidR="007F17F0" w:rsidRPr="006B7B0D" w:rsidRDefault="007F17F0" w:rsidP="007F17F0">
            <w:r w:rsidRPr="006B7B0D">
              <w:t>14.1.1.3</w:t>
            </w:r>
          </w:p>
        </w:tc>
        <w:tc>
          <w:tcPr>
            <w:tcW w:w="4771" w:type="dxa"/>
            <w:gridSpan w:val="3"/>
            <w:shd w:val="clear" w:color="auto" w:fill="E2EFD9" w:themeFill="accent6" w:themeFillTint="33"/>
            <w:vAlign w:val="center"/>
          </w:tcPr>
          <w:p w14:paraId="52DF3999" w14:textId="77777777" w:rsidR="007F17F0" w:rsidRPr="006B7B0D" w:rsidRDefault="007F17F0" w:rsidP="007F17F0">
            <w:r w:rsidRPr="006B7B0D">
              <w:t>Medium capacity</w:t>
            </w:r>
          </w:p>
        </w:tc>
        <w:tc>
          <w:tcPr>
            <w:tcW w:w="4398" w:type="dxa"/>
            <w:vAlign w:val="center"/>
          </w:tcPr>
          <w:p w14:paraId="58B179CC" w14:textId="1F779A8B" w:rsidR="007F17F0" w:rsidRPr="006B7B0D" w:rsidRDefault="003350E1" w:rsidP="007F17F0">
            <w:r>
              <w:t>X</w:t>
            </w:r>
          </w:p>
        </w:tc>
      </w:tr>
      <w:tr w:rsidR="007F17F0" w:rsidRPr="006B7B0D" w14:paraId="68784F43" w14:textId="77777777" w:rsidTr="2452D0D6">
        <w:trPr>
          <w:trHeight w:val="63"/>
        </w:trPr>
        <w:tc>
          <w:tcPr>
            <w:tcW w:w="1063" w:type="dxa"/>
            <w:vAlign w:val="center"/>
          </w:tcPr>
          <w:p w14:paraId="5EFE7F7F" w14:textId="77777777" w:rsidR="007F17F0" w:rsidRPr="006B7B0D" w:rsidRDefault="007F17F0" w:rsidP="007F17F0">
            <w:r w:rsidRPr="006B7B0D">
              <w:t>14.1.1.4</w:t>
            </w:r>
          </w:p>
        </w:tc>
        <w:tc>
          <w:tcPr>
            <w:tcW w:w="4771" w:type="dxa"/>
            <w:gridSpan w:val="3"/>
            <w:shd w:val="clear" w:color="auto" w:fill="E2EFD9" w:themeFill="accent6" w:themeFillTint="33"/>
            <w:vAlign w:val="center"/>
          </w:tcPr>
          <w:p w14:paraId="646E129C" w14:textId="77777777" w:rsidR="007F17F0" w:rsidRPr="006B7B0D" w:rsidRDefault="007F17F0" w:rsidP="007F17F0">
            <w:r w:rsidRPr="006B7B0D">
              <w:t>High capacity</w:t>
            </w:r>
          </w:p>
        </w:tc>
        <w:tc>
          <w:tcPr>
            <w:tcW w:w="4398" w:type="dxa"/>
            <w:vAlign w:val="center"/>
          </w:tcPr>
          <w:p w14:paraId="6DCCE4F4" w14:textId="4A708F8D" w:rsidR="007F17F0" w:rsidRPr="006B7B0D" w:rsidRDefault="007F17F0" w:rsidP="007F17F0"/>
        </w:tc>
      </w:tr>
      <w:tr w:rsidR="007F17F0" w:rsidRPr="006B7B0D" w14:paraId="06CA77C4" w14:textId="77777777" w:rsidTr="2452D0D6">
        <w:trPr>
          <w:trHeight w:val="63"/>
        </w:trPr>
        <w:tc>
          <w:tcPr>
            <w:tcW w:w="1063" w:type="dxa"/>
            <w:vAlign w:val="center"/>
          </w:tcPr>
          <w:p w14:paraId="6A85A976" w14:textId="77777777" w:rsidR="007F17F0" w:rsidRPr="006B7B0D" w:rsidRDefault="007F17F0" w:rsidP="007F17F0">
            <w:pPr>
              <w:rPr>
                <w:b/>
                <w:bCs/>
              </w:rPr>
            </w:pPr>
            <w:r w:rsidRPr="006B7B0D">
              <w:rPr>
                <w:b/>
                <w:bCs/>
              </w:rPr>
              <w:t>14.2</w:t>
            </w:r>
          </w:p>
        </w:tc>
        <w:tc>
          <w:tcPr>
            <w:tcW w:w="9169" w:type="dxa"/>
            <w:gridSpan w:val="4"/>
            <w:shd w:val="clear" w:color="auto" w:fill="DEEAF6" w:themeFill="accent5" w:themeFillTint="33"/>
            <w:vAlign w:val="center"/>
          </w:tcPr>
          <w:p w14:paraId="24C2F1D4" w14:textId="77777777" w:rsidR="007F17F0" w:rsidRDefault="007F17F0" w:rsidP="007F17F0">
            <w:pPr>
              <w:rPr>
                <w:b/>
                <w:bCs/>
              </w:rPr>
            </w:pPr>
            <w:r>
              <w:rPr>
                <w:b/>
                <w:bCs/>
              </w:rPr>
              <w:t>Authority number 2</w:t>
            </w:r>
          </w:p>
          <w:p w14:paraId="65C42350" w14:textId="77777777" w:rsidR="007F17F0" w:rsidRPr="00C27879" w:rsidRDefault="007F17F0" w:rsidP="007F17F0">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7F17F0" w:rsidRDefault="007F17F0" w:rsidP="007F17F0"/>
          <w:p w14:paraId="75458349" w14:textId="09DB031C" w:rsidR="007F17F0" w:rsidRPr="006B7B0D" w:rsidRDefault="007F17F0" w:rsidP="007F17F0">
            <w:r w:rsidRPr="006B7B0D">
              <w:lastRenderedPageBreak/>
              <w:t>Name the authority responsible for overseeing implementation and/or enforcement. In the case of EU regulation, limit answers to EU (i.e. supranational) authorities.</w:t>
            </w:r>
          </w:p>
        </w:tc>
      </w:tr>
      <w:tr w:rsidR="007F17F0" w:rsidRPr="006B7B0D" w14:paraId="7D26AF05" w14:textId="77777777" w:rsidTr="2452D0D6">
        <w:trPr>
          <w:trHeight w:val="533"/>
        </w:trPr>
        <w:tc>
          <w:tcPr>
            <w:tcW w:w="1063" w:type="dxa"/>
            <w:vAlign w:val="center"/>
          </w:tcPr>
          <w:p w14:paraId="2061516D" w14:textId="77777777" w:rsidR="007F17F0" w:rsidRPr="006B7B0D" w:rsidRDefault="007F17F0" w:rsidP="007F17F0">
            <w:pPr>
              <w:rPr>
                <w:b/>
                <w:bCs/>
              </w:rPr>
            </w:pPr>
          </w:p>
        </w:tc>
        <w:tc>
          <w:tcPr>
            <w:tcW w:w="9169" w:type="dxa"/>
            <w:gridSpan w:val="4"/>
            <w:vAlign w:val="center"/>
          </w:tcPr>
          <w:p w14:paraId="507D976A" w14:textId="77777777" w:rsidR="007F17F0" w:rsidRPr="006B7B0D" w:rsidRDefault="007F17F0" w:rsidP="007F17F0"/>
        </w:tc>
      </w:tr>
      <w:tr w:rsidR="007F17F0" w:rsidRPr="006B7B0D" w14:paraId="6AB9B869" w14:textId="77777777" w:rsidTr="2452D0D6">
        <w:trPr>
          <w:trHeight w:val="63"/>
        </w:trPr>
        <w:tc>
          <w:tcPr>
            <w:tcW w:w="1063" w:type="dxa"/>
            <w:vAlign w:val="center"/>
          </w:tcPr>
          <w:p w14:paraId="50155A23" w14:textId="77777777" w:rsidR="007F17F0" w:rsidRPr="006B7B0D" w:rsidRDefault="007F17F0" w:rsidP="007F17F0">
            <w:r w:rsidRPr="006B7B0D">
              <w:t>14.2.1</w:t>
            </w:r>
          </w:p>
        </w:tc>
        <w:tc>
          <w:tcPr>
            <w:tcW w:w="9169" w:type="dxa"/>
            <w:gridSpan w:val="4"/>
            <w:shd w:val="clear" w:color="auto" w:fill="DEEAF6" w:themeFill="accent5" w:themeFillTint="33"/>
            <w:vAlign w:val="center"/>
          </w:tcPr>
          <w:p w14:paraId="5E2FCC33" w14:textId="77777777" w:rsidR="007F17F0" w:rsidRPr="006B7B0D" w:rsidRDefault="007F17F0" w:rsidP="007F17F0">
            <w:r w:rsidRPr="006B7B0D">
              <w:t>To provide contextual information, indicate the extent to which this authority is perceived as having the capacity to undertake this work. Select the appropriate response using an X.</w:t>
            </w:r>
          </w:p>
        </w:tc>
      </w:tr>
      <w:tr w:rsidR="007F17F0" w:rsidRPr="006B7B0D" w14:paraId="1BA88269" w14:textId="77777777" w:rsidTr="2452D0D6">
        <w:trPr>
          <w:trHeight w:val="63"/>
        </w:trPr>
        <w:tc>
          <w:tcPr>
            <w:tcW w:w="1063" w:type="dxa"/>
            <w:vAlign w:val="center"/>
          </w:tcPr>
          <w:p w14:paraId="71E485F5" w14:textId="77777777" w:rsidR="007F17F0" w:rsidRPr="006B7B0D" w:rsidRDefault="007F17F0" w:rsidP="007F17F0">
            <w:r w:rsidRPr="006B7B0D">
              <w:t>14.2.1.1</w:t>
            </w:r>
          </w:p>
        </w:tc>
        <w:tc>
          <w:tcPr>
            <w:tcW w:w="4771" w:type="dxa"/>
            <w:gridSpan w:val="3"/>
            <w:shd w:val="clear" w:color="auto" w:fill="E2EFD9" w:themeFill="accent6" w:themeFillTint="33"/>
            <w:vAlign w:val="center"/>
          </w:tcPr>
          <w:p w14:paraId="66F404D5" w14:textId="77777777" w:rsidR="007F17F0" w:rsidRPr="006B7B0D" w:rsidRDefault="007F17F0" w:rsidP="007F17F0">
            <w:r w:rsidRPr="006B7B0D">
              <w:t>No capacity</w:t>
            </w:r>
          </w:p>
        </w:tc>
        <w:tc>
          <w:tcPr>
            <w:tcW w:w="4398" w:type="dxa"/>
            <w:shd w:val="clear" w:color="auto" w:fill="auto"/>
            <w:vAlign w:val="center"/>
          </w:tcPr>
          <w:p w14:paraId="3A6A50BF" w14:textId="77777777" w:rsidR="007F17F0" w:rsidRPr="006B7B0D" w:rsidRDefault="007F17F0" w:rsidP="007F17F0"/>
        </w:tc>
      </w:tr>
      <w:tr w:rsidR="007F17F0" w:rsidRPr="006B7B0D" w14:paraId="5D361E78" w14:textId="77777777" w:rsidTr="2452D0D6">
        <w:trPr>
          <w:trHeight w:val="63"/>
        </w:trPr>
        <w:tc>
          <w:tcPr>
            <w:tcW w:w="1063" w:type="dxa"/>
            <w:vAlign w:val="center"/>
          </w:tcPr>
          <w:p w14:paraId="2A9FB383" w14:textId="77777777" w:rsidR="007F17F0" w:rsidRPr="006B7B0D" w:rsidRDefault="007F17F0" w:rsidP="007F17F0">
            <w:r w:rsidRPr="006B7B0D">
              <w:t>14.2.1.2</w:t>
            </w:r>
          </w:p>
        </w:tc>
        <w:tc>
          <w:tcPr>
            <w:tcW w:w="4771" w:type="dxa"/>
            <w:gridSpan w:val="3"/>
            <w:shd w:val="clear" w:color="auto" w:fill="E2EFD9" w:themeFill="accent6" w:themeFillTint="33"/>
            <w:vAlign w:val="center"/>
          </w:tcPr>
          <w:p w14:paraId="4BB6795D" w14:textId="77777777" w:rsidR="007F17F0" w:rsidRPr="006B7B0D" w:rsidRDefault="007F17F0" w:rsidP="007F17F0">
            <w:r w:rsidRPr="006B7B0D">
              <w:t>Low capacity</w:t>
            </w:r>
          </w:p>
        </w:tc>
        <w:tc>
          <w:tcPr>
            <w:tcW w:w="4398" w:type="dxa"/>
            <w:shd w:val="clear" w:color="auto" w:fill="auto"/>
            <w:vAlign w:val="center"/>
          </w:tcPr>
          <w:p w14:paraId="325AB748" w14:textId="77777777" w:rsidR="007F17F0" w:rsidRPr="006B7B0D" w:rsidRDefault="007F17F0" w:rsidP="007F17F0"/>
        </w:tc>
      </w:tr>
      <w:tr w:rsidR="007F17F0" w:rsidRPr="006B7B0D" w14:paraId="18F660AB" w14:textId="77777777" w:rsidTr="2452D0D6">
        <w:trPr>
          <w:trHeight w:val="63"/>
        </w:trPr>
        <w:tc>
          <w:tcPr>
            <w:tcW w:w="1063" w:type="dxa"/>
            <w:vAlign w:val="center"/>
          </w:tcPr>
          <w:p w14:paraId="003BCF38" w14:textId="77777777" w:rsidR="007F17F0" w:rsidRPr="006B7B0D" w:rsidRDefault="007F17F0" w:rsidP="007F17F0">
            <w:r w:rsidRPr="006B7B0D">
              <w:t>14.2.1.3</w:t>
            </w:r>
          </w:p>
        </w:tc>
        <w:tc>
          <w:tcPr>
            <w:tcW w:w="4771" w:type="dxa"/>
            <w:gridSpan w:val="3"/>
            <w:shd w:val="clear" w:color="auto" w:fill="E2EFD9" w:themeFill="accent6" w:themeFillTint="33"/>
            <w:vAlign w:val="center"/>
          </w:tcPr>
          <w:p w14:paraId="118940DB" w14:textId="77777777" w:rsidR="007F17F0" w:rsidRPr="006B7B0D" w:rsidRDefault="007F17F0" w:rsidP="007F17F0">
            <w:r w:rsidRPr="006B7B0D">
              <w:t>Medium capacity</w:t>
            </w:r>
          </w:p>
        </w:tc>
        <w:tc>
          <w:tcPr>
            <w:tcW w:w="4398" w:type="dxa"/>
            <w:shd w:val="clear" w:color="auto" w:fill="auto"/>
            <w:vAlign w:val="center"/>
          </w:tcPr>
          <w:p w14:paraId="5989DD29" w14:textId="77777777" w:rsidR="007F17F0" w:rsidRPr="006B7B0D" w:rsidRDefault="007F17F0" w:rsidP="007F17F0"/>
        </w:tc>
      </w:tr>
      <w:tr w:rsidR="007F17F0" w:rsidRPr="006B7B0D" w14:paraId="0C248745" w14:textId="77777777" w:rsidTr="2452D0D6">
        <w:trPr>
          <w:trHeight w:val="63"/>
        </w:trPr>
        <w:tc>
          <w:tcPr>
            <w:tcW w:w="1063" w:type="dxa"/>
            <w:vAlign w:val="center"/>
          </w:tcPr>
          <w:p w14:paraId="3EE745F4" w14:textId="77777777" w:rsidR="007F17F0" w:rsidRPr="006B7B0D" w:rsidRDefault="007F17F0" w:rsidP="007F17F0">
            <w:r w:rsidRPr="006B7B0D">
              <w:t>14.2.1.4</w:t>
            </w:r>
          </w:p>
        </w:tc>
        <w:tc>
          <w:tcPr>
            <w:tcW w:w="4771" w:type="dxa"/>
            <w:gridSpan w:val="3"/>
            <w:shd w:val="clear" w:color="auto" w:fill="E2EFD9" w:themeFill="accent6" w:themeFillTint="33"/>
            <w:vAlign w:val="center"/>
          </w:tcPr>
          <w:p w14:paraId="49738692" w14:textId="77777777" w:rsidR="007F17F0" w:rsidRPr="006B7B0D" w:rsidRDefault="007F17F0" w:rsidP="007F17F0">
            <w:r>
              <w:t>High</w:t>
            </w:r>
            <w:r w:rsidRPr="006B7B0D">
              <w:t xml:space="preserve"> capacity</w:t>
            </w:r>
          </w:p>
        </w:tc>
        <w:tc>
          <w:tcPr>
            <w:tcW w:w="4398" w:type="dxa"/>
            <w:shd w:val="clear" w:color="auto" w:fill="auto"/>
            <w:vAlign w:val="center"/>
          </w:tcPr>
          <w:p w14:paraId="6FFE5C36" w14:textId="77777777" w:rsidR="007F17F0" w:rsidRPr="006B7B0D" w:rsidRDefault="007F17F0" w:rsidP="007F17F0"/>
        </w:tc>
      </w:tr>
      <w:tr w:rsidR="007F17F0" w:rsidRPr="006B7B0D" w14:paraId="40B951C4" w14:textId="77777777" w:rsidTr="2452D0D6">
        <w:trPr>
          <w:trHeight w:val="63"/>
        </w:trPr>
        <w:tc>
          <w:tcPr>
            <w:tcW w:w="1063" w:type="dxa"/>
            <w:vAlign w:val="center"/>
          </w:tcPr>
          <w:p w14:paraId="70661B16" w14:textId="77777777" w:rsidR="007F17F0" w:rsidRPr="006B7B0D" w:rsidRDefault="007F17F0" w:rsidP="007F17F0">
            <w:pPr>
              <w:rPr>
                <w:b/>
                <w:bCs/>
              </w:rPr>
            </w:pPr>
            <w:r w:rsidRPr="006B7B0D">
              <w:rPr>
                <w:b/>
                <w:bCs/>
              </w:rPr>
              <w:t>14.3</w:t>
            </w:r>
          </w:p>
        </w:tc>
        <w:tc>
          <w:tcPr>
            <w:tcW w:w="9169" w:type="dxa"/>
            <w:gridSpan w:val="4"/>
            <w:shd w:val="clear" w:color="auto" w:fill="DEEAF6" w:themeFill="accent5" w:themeFillTint="33"/>
            <w:vAlign w:val="center"/>
          </w:tcPr>
          <w:p w14:paraId="1829FD9A" w14:textId="77777777" w:rsidR="007F17F0" w:rsidRDefault="007F17F0" w:rsidP="007F17F0">
            <w:pPr>
              <w:rPr>
                <w:b/>
                <w:bCs/>
              </w:rPr>
            </w:pPr>
            <w:r>
              <w:rPr>
                <w:b/>
                <w:bCs/>
              </w:rPr>
              <w:t>Authority number 3</w:t>
            </w:r>
          </w:p>
          <w:p w14:paraId="1DF2B1EC" w14:textId="77777777" w:rsidR="007F17F0" w:rsidRPr="00C27879" w:rsidRDefault="007F17F0" w:rsidP="007F17F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7F17F0" w:rsidRDefault="007F17F0" w:rsidP="007F17F0"/>
          <w:p w14:paraId="5FB5137B" w14:textId="77777777" w:rsidR="007F17F0" w:rsidRPr="006B7B0D" w:rsidRDefault="007F17F0" w:rsidP="007F17F0">
            <w:r w:rsidRPr="006B7B0D">
              <w:t>Name the authority responsible for overseeing implementation and/or enforcement. In the case of EU regulation, limit answers to EU (i.e. supranational) authorities.</w:t>
            </w:r>
          </w:p>
        </w:tc>
      </w:tr>
      <w:tr w:rsidR="007F17F0" w:rsidRPr="006B7B0D" w14:paraId="5C0A0250" w14:textId="77777777" w:rsidTr="2452D0D6">
        <w:trPr>
          <w:trHeight w:val="533"/>
        </w:trPr>
        <w:tc>
          <w:tcPr>
            <w:tcW w:w="1063" w:type="dxa"/>
            <w:vAlign w:val="center"/>
          </w:tcPr>
          <w:p w14:paraId="2082B541" w14:textId="77777777" w:rsidR="007F17F0" w:rsidRPr="006B7B0D" w:rsidRDefault="007F17F0" w:rsidP="007F17F0">
            <w:pPr>
              <w:rPr>
                <w:b/>
                <w:bCs/>
              </w:rPr>
            </w:pPr>
          </w:p>
        </w:tc>
        <w:tc>
          <w:tcPr>
            <w:tcW w:w="9169" w:type="dxa"/>
            <w:gridSpan w:val="4"/>
            <w:vAlign w:val="center"/>
          </w:tcPr>
          <w:p w14:paraId="51704B6A" w14:textId="77777777" w:rsidR="007F17F0" w:rsidRPr="006B7B0D" w:rsidRDefault="007F17F0" w:rsidP="007F17F0"/>
        </w:tc>
      </w:tr>
      <w:tr w:rsidR="007F17F0" w:rsidRPr="006B7B0D" w14:paraId="77D0CF31" w14:textId="77777777" w:rsidTr="2452D0D6">
        <w:trPr>
          <w:trHeight w:val="63"/>
        </w:trPr>
        <w:tc>
          <w:tcPr>
            <w:tcW w:w="1063" w:type="dxa"/>
            <w:vAlign w:val="center"/>
          </w:tcPr>
          <w:p w14:paraId="0707AAFB" w14:textId="77777777" w:rsidR="007F17F0" w:rsidRPr="006B7B0D" w:rsidRDefault="007F17F0" w:rsidP="007F17F0">
            <w:r w:rsidRPr="006B7B0D">
              <w:t>14.3.1</w:t>
            </w:r>
          </w:p>
        </w:tc>
        <w:tc>
          <w:tcPr>
            <w:tcW w:w="9169" w:type="dxa"/>
            <w:gridSpan w:val="4"/>
            <w:shd w:val="clear" w:color="auto" w:fill="DEEAF6" w:themeFill="accent5" w:themeFillTint="33"/>
            <w:vAlign w:val="center"/>
          </w:tcPr>
          <w:p w14:paraId="4C371296" w14:textId="77777777" w:rsidR="007F17F0" w:rsidRPr="006B7B0D" w:rsidRDefault="007F17F0" w:rsidP="007F17F0">
            <w:r w:rsidRPr="006B7B0D">
              <w:t>To provide contextual information, indicate the extent to which this authority is perceived as having the capacity to undertake this work. Select the appropriate response using an X.</w:t>
            </w:r>
          </w:p>
        </w:tc>
      </w:tr>
      <w:tr w:rsidR="007F17F0" w:rsidRPr="006B7B0D" w14:paraId="2D84148F" w14:textId="77777777" w:rsidTr="2452D0D6">
        <w:trPr>
          <w:trHeight w:val="63"/>
        </w:trPr>
        <w:tc>
          <w:tcPr>
            <w:tcW w:w="1063" w:type="dxa"/>
            <w:vAlign w:val="center"/>
          </w:tcPr>
          <w:p w14:paraId="20A98EAD" w14:textId="77777777" w:rsidR="007F17F0" w:rsidRPr="006B7B0D" w:rsidRDefault="007F17F0" w:rsidP="007F17F0">
            <w:r w:rsidRPr="006B7B0D">
              <w:t>14.3.1.1</w:t>
            </w:r>
          </w:p>
        </w:tc>
        <w:tc>
          <w:tcPr>
            <w:tcW w:w="4771" w:type="dxa"/>
            <w:gridSpan w:val="3"/>
            <w:shd w:val="clear" w:color="auto" w:fill="E2EFD9" w:themeFill="accent6" w:themeFillTint="33"/>
            <w:vAlign w:val="center"/>
          </w:tcPr>
          <w:p w14:paraId="23D350B3" w14:textId="77777777" w:rsidR="007F17F0" w:rsidRPr="006B7B0D" w:rsidRDefault="007F17F0" w:rsidP="007F17F0">
            <w:r w:rsidRPr="006B7B0D">
              <w:t>No capacity</w:t>
            </w:r>
          </w:p>
        </w:tc>
        <w:tc>
          <w:tcPr>
            <w:tcW w:w="4398" w:type="dxa"/>
            <w:shd w:val="clear" w:color="auto" w:fill="auto"/>
            <w:vAlign w:val="center"/>
          </w:tcPr>
          <w:p w14:paraId="7CCBB24C" w14:textId="77777777" w:rsidR="007F17F0" w:rsidRPr="006B7B0D" w:rsidRDefault="007F17F0" w:rsidP="007F17F0"/>
        </w:tc>
      </w:tr>
      <w:tr w:rsidR="007F17F0" w:rsidRPr="006B7B0D" w14:paraId="648A4CEC" w14:textId="77777777" w:rsidTr="2452D0D6">
        <w:trPr>
          <w:trHeight w:val="63"/>
        </w:trPr>
        <w:tc>
          <w:tcPr>
            <w:tcW w:w="1063" w:type="dxa"/>
            <w:vAlign w:val="center"/>
          </w:tcPr>
          <w:p w14:paraId="3F156AAC" w14:textId="77777777" w:rsidR="007F17F0" w:rsidRPr="006B7B0D" w:rsidRDefault="007F17F0" w:rsidP="007F17F0">
            <w:r w:rsidRPr="006B7B0D">
              <w:t>14.3.1.2</w:t>
            </w:r>
          </w:p>
        </w:tc>
        <w:tc>
          <w:tcPr>
            <w:tcW w:w="4771" w:type="dxa"/>
            <w:gridSpan w:val="3"/>
            <w:shd w:val="clear" w:color="auto" w:fill="E2EFD9" w:themeFill="accent6" w:themeFillTint="33"/>
            <w:vAlign w:val="center"/>
          </w:tcPr>
          <w:p w14:paraId="33AA0F38" w14:textId="77777777" w:rsidR="007F17F0" w:rsidRPr="006B7B0D" w:rsidRDefault="007F17F0" w:rsidP="007F17F0">
            <w:r w:rsidRPr="006B7B0D">
              <w:t>Low capacity</w:t>
            </w:r>
          </w:p>
        </w:tc>
        <w:tc>
          <w:tcPr>
            <w:tcW w:w="4398" w:type="dxa"/>
            <w:shd w:val="clear" w:color="auto" w:fill="auto"/>
            <w:vAlign w:val="center"/>
          </w:tcPr>
          <w:p w14:paraId="1E169CCE" w14:textId="77777777" w:rsidR="007F17F0" w:rsidRPr="006B7B0D" w:rsidRDefault="007F17F0" w:rsidP="007F17F0"/>
        </w:tc>
      </w:tr>
      <w:tr w:rsidR="007F17F0" w:rsidRPr="006B7B0D" w14:paraId="52C76AF7" w14:textId="77777777" w:rsidTr="2452D0D6">
        <w:trPr>
          <w:trHeight w:val="63"/>
        </w:trPr>
        <w:tc>
          <w:tcPr>
            <w:tcW w:w="1063" w:type="dxa"/>
            <w:vAlign w:val="center"/>
          </w:tcPr>
          <w:p w14:paraId="28B5DB84" w14:textId="77777777" w:rsidR="007F17F0" w:rsidRPr="006B7B0D" w:rsidRDefault="007F17F0" w:rsidP="007F17F0">
            <w:r w:rsidRPr="006B7B0D">
              <w:t>14.3.1.3</w:t>
            </w:r>
          </w:p>
        </w:tc>
        <w:tc>
          <w:tcPr>
            <w:tcW w:w="4771" w:type="dxa"/>
            <w:gridSpan w:val="3"/>
            <w:shd w:val="clear" w:color="auto" w:fill="E2EFD9" w:themeFill="accent6" w:themeFillTint="33"/>
            <w:vAlign w:val="center"/>
          </w:tcPr>
          <w:p w14:paraId="63B3325D" w14:textId="77777777" w:rsidR="007F17F0" w:rsidRPr="006B7B0D" w:rsidRDefault="007F17F0" w:rsidP="007F17F0">
            <w:r w:rsidRPr="006B7B0D">
              <w:t>Medium capacity</w:t>
            </w:r>
          </w:p>
        </w:tc>
        <w:tc>
          <w:tcPr>
            <w:tcW w:w="4398" w:type="dxa"/>
            <w:shd w:val="clear" w:color="auto" w:fill="auto"/>
            <w:vAlign w:val="center"/>
          </w:tcPr>
          <w:p w14:paraId="6CA00AB3" w14:textId="77777777" w:rsidR="007F17F0" w:rsidRPr="006B7B0D" w:rsidRDefault="007F17F0" w:rsidP="007F17F0"/>
        </w:tc>
      </w:tr>
      <w:tr w:rsidR="007F17F0" w:rsidRPr="006B7B0D" w14:paraId="36227F50" w14:textId="77777777" w:rsidTr="2452D0D6">
        <w:trPr>
          <w:trHeight w:val="63"/>
        </w:trPr>
        <w:tc>
          <w:tcPr>
            <w:tcW w:w="1063" w:type="dxa"/>
            <w:vAlign w:val="center"/>
          </w:tcPr>
          <w:p w14:paraId="475F5BD3" w14:textId="77777777" w:rsidR="007F17F0" w:rsidRPr="006B7B0D" w:rsidRDefault="007F17F0" w:rsidP="007F17F0">
            <w:r w:rsidRPr="006B7B0D">
              <w:t>14.3.1.4</w:t>
            </w:r>
          </w:p>
        </w:tc>
        <w:tc>
          <w:tcPr>
            <w:tcW w:w="4771" w:type="dxa"/>
            <w:gridSpan w:val="3"/>
            <w:shd w:val="clear" w:color="auto" w:fill="E2EFD9" w:themeFill="accent6" w:themeFillTint="33"/>
            <w:vAlign w:val="center"/>
          </w:tcPr>
          <w:p w14:paraId="30527C2E" w14:textId="77777777" w:rsidR="007F17F0" w:rsidRPr="006B7B0D" w:rsidRDefault="007F17F0" w:rsidP="007F17F0">
            <w:r w:rsidRPr="006B7B0D">
              <w:t>High capacity</w:t>
            </w:r>
          </w:p>
        </w:tc>
        <w:tc>
          <w:tcPr>
            <w:tcW w:w="4398" w:type="dxa"/>
            <w:vAlign w:val="center"/>
          </w:tcPr>
          <w:p w14:paraId="6772B1F9" w14:textId="77777777" w:rsidR="007F17F0" w:rsidRPr="006B7B0D" w:rsidRDefault="007F17F0" w:rsidP="007F17F0"/>
        </w:tc>
      </w:tr>
      <w:tr w:rsidR="007F17F0" w:rsidRPr="006B7B0D" w14:paraId="7246BF31" w14:textId="77777777" w:rsidTr="2452D0D6">
        <w:trPr>
          <w:trHeight w:val="63"/>
        </w:trPr>
        <w:tc>
          <w:tcPr>
            <w:tcW w:w="1063" w:type="dxa"/>
            <w:vAlign w:val="center"/>
          </w:tcPr>
          <w:p w14:paraId="647B0271" w14:textId="77777777" w:rsidR="007F17F0" w:rsidRPr="006B7B0D" w:rsidRDefault="007F17F0" w:rsidP="007F17F0">
            <w:pPr>
              <w:rPr>
                <w:b/>
                <w:bCs/>
              </w:rPr>
            </w:pPr>
            <w:r w:rsidRPr="006B7B0D">
              <w:rPr>
                <w:b/>
                <w:bCs/>
              </w:rPr>
              <w:t>14.4</w:t>
            </w:r>
          </w:p>
        </w:tc>
        <w:tc>
          <w:tcPr>
            <w:tcW w:w="9169" w:type="dxa"/>
            <w:gridSpan w:val="4"/>
            <w:shd w:val="clear" w:color="auto" w:fill="DEEAF6" w:themeFill="accent5" w:themeFillTint="33"/>
            <w:vAlign w:val="center"/>
          </w:tcPr>
          <w:p w14:paraId="5E1995D8" w14:textId="77777777" w:rsidR="007F17F0" w:rsidRDefault="007F17F0" w:rsidP="007F17F0">
            <w:pPr>
              <w:rPr>
                <w:b/>
                <w:bCs/>
              </w:rPr>
            </w:pPr>
            <w:r>
              <w:rPr>
                <w:b/>
                <w:bCs/>
              </w:rPr>
              <w:t>Authority number 4</w:t>
            </w:r>
          </w:p>
          <w:p w14:paraId="169675C9" w14:textId="77777777" w:rsidR="007F17F0" w:rsidRPr="00C27879" w:rsidRDefault="007F17F0" w:rsidP="007F17F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7F17F0" w:rsidRDefault="007F17F0" w:rsidP="007F17F0"/>
          <w:p w14:paraId="6F462D5A" w14:textId="77777777" w:rsidR="007F17F0" w:rsidRPr="006B7B0D" w:rsidRDefault="007F17F0" w:rsidP="007F17F0">
            <w:r w:rsidRPr="006B7B0D">
              <w:t>Name the authority responsible for overseeing implementation and/or enforcement. In the case of EU regulation, limit answers to EU (i.e. supranational) authorities.</w:t>
            </w:r>
          </w:p>
        </w:tc>
      </w:tr>
      <w:tr w:rsidR="007F17F0" w:rsidRPr="006B7B0D" w14:paraId="15ED0B87" w14:textId="77777777" w:rsidTr="2452D0D6">
        <w:trPr>
          <w:trHeight w:val="533"/>
        </w:trPr>
        <w:tc>
          <w:tcPr>
            <w:tcW w:w="1063" w:type="dxa"/>
            <w:vAlign w:val="center"/>
          </w:tcPr>
          <w:p w14:paraId="1F21B16A" w14:textId="77777777" w:rsidR="007F17F0" w:rsidRPr="006B7B0D" w:rsidRDefault="007F17F0" w:rsidP="007F17F0">
            <w:pPr>
              <w:rPr>
                <w:b/>
                <w:bCs/>
              </w:rPr>
            </w:pPr>
          </w:p>
        </w:tc>
        <w:tc>
          <w:tcPr>
            <w:tcW w:w="9169" w:type="dxa"/>
            <w:gridSpan w:val="4"/>
            <w:vAlign w:val="center"/>
          </w:tcPr>
          <w:p w14:paraId="6A9FF7A9" w14:textId="77777777" w:rsidR="007F17F0" w:rsidRPr="006B7B0D" w:rsidRDefault="007F17F0" w:rsidP="007F17F0"/>
        </w:tc>
      </w:tr>
      <w:tr w:rsidR="007F17F0" w:rsidRPr="006B7B0D" w14:paraId="24183447" w14:textId="77777777" w:rsidTr="2452D0D6">
        <w:trPr>
          <w:trHeight w:val="63"/>
        </w:trPr>
        <w:tc>
          <w:tcPr>
            <w:tcW w:w="1063" w:type="dxa"/>
            <w:vAlign w:val="center"/>
          </w:tcPr>
          <w:p w14:paraId="41DFFA8E" w14:textId="77777777" w:rsidR="007F17F0" w:rsidRPr="006B7B0D" w:rsidRDefault="007F17F0" w:rsidP="007F17F0">
            <w:r w:rsidRPr="006B7B0D">
              <w:t>14.4.1</w:t>
            </w:r>
          </w:p>
        </w:tc>
        <w:tc>
          <w:tcPr>
            <w:tcW w:w="9169" w:type="dxa"/>
            <w:gridSpan w:val="4"/>
            <w:shd w:val="clear" w:color="auto" w:fill="DEEAF6" w:themeFill="accent5" w:themeFillTint="33"/>
            <w:vAlign w:val="center"/>
          </w:tcPr>
          <w:p w14:paraId="489C027C" w14:textId="77777777" w:rsidR="007F17F0" w:rsidRPr="006B7B0D" w:rsidRDefault="007F17F0" w:rsidP="007F17F0">
            <w:r w:rsidRPr="006B7B0D">
              <w:t>To provide contextual information, indicate the extent to which this authority is perceived as having the capacity to undertake this work. Select the appropriate response using an X.</w:t>
            </w:r>
          </w:p>
        </w:tc>
      </w:tr>
      <w:tr w:rsidR="007F17F0" w:rsidRPr="006B7B0D" w14:paraId="15E0E51D" w14:textId="77777777" w:rsidTr="2452D0D6">
        <w:trPr>
          <w:trHeight w:val="63"/>
        </w:trPr>
        <w:tc>
          <w:tcPr>
            <w:tcW w:w="1063" w:type="dxa"/>
            <w:vAlign w:val="center"/>
          </w:tcPr>
          <w:p w14:paraId="4F9A4A7B" w14:textId="77777777" w:rsidR="007F17F0" w:rsidRPr="006B7B0D" w:rsidRDefault="007F17F0" w:rsidP="007F17F0">
            <w:r w:rsidRPr="006B7B0D">
              <w:t>14.4.1.1</w:t>
            </w:r>
          </w:p>
        </w:tc>
        <w:tc>
          <w:tcPr>
            <w:tcW w:w="4771" w:type="dxa"/>
            <w:gridSpan w:val="3"/>
            <w:shd w:val="clear" w:color="auto" w:fill="E2EFD9" w:themeFill="accent6" w:themeFillTint="33"/>
            <w:vAlign w:val="center"/>
          </w:tcPr>
          <w:p w14:paraId="6D281D7C" w14:textId="77777777" w:rsidR="007F17F0" w:rsidRPr="006B7B0D" w:rsidRDefault="007F17F0" w:rsidP="007F17F0">
            <w:r w:rsidRPr="006B7B0D">
              <w:t>No capacity</w:t>
            </w:r>
          </w:p>
        </w:tc>
        <w:tc>
          <w:tcPr>
            <w:tcW w:w="4398" w:type="dxa"/>
            <w:shd w:val="clear" w:color="auto" w:fill="auto"/>
            <w:vAlign w:val="center"/>
          </w:tcPr>
          <w:p w14:paraId="36FFFEDB" w14:textId="77777777" w:rsidR="007F17F0" w:rsidRPr="006B7B0D" w:rsidRDefault="007F17F0" w:rsidP="007F17F0"/>
        </w:tc>
      </w:tr>
      <w:tr w:rsidR="007F17F0" w:rsidRPr="006B7B0D" w14:paraId="2ED25454" w14:textId="77777777" w:rsidTr="2452D0D6">
        <w:trPr>
          <w:trHeight w:val="63"/>
        </w:trPr>
        <w:tc>
          <w:tcPr>
            <w:tcW w:w="1063" w:type="dxa"/>
            <w:vAlign w:val="center"/>
          </w:tcPr>
          <w:p w14:paraId="6FC23CEF" w14:textId="77777777" w:rsidR="007F17F0" w:rsidRPr="006B7B0D" w:rsidRDefault="007F17F0" w:rsidP="007F17F0">
            <w:r w:rsidRPr="006B7B0D">
              <w:lastRenderedPageBreak/>
              <w:t>14.4.1.2</w:t>
            </w:r>
          </w:p>
        </w:tc>
        <w:tc>
          <w:tcPr>
            <w:tcW w:w="4771" w:type="dxa"/>
            <w:gridSpan w:val="3"/>
            <w:shd w:val="clear" w:color="auto" w:fill="E2EFD9" w:themeFill="accent6" w:themeFillTint="33"/>
            <w:vAlign w:val="center"/>
          </w:tcPr>
          <w:p w14:paraId="09A88DE5" w14:textId="77777777" w:rsidR="007F17F0" w:rsidRPr="006B7B0D" w:rsidRDefault="007F17F0" w:rsidP="007F17F0">
            <w:r w:rsidRPr="006B7B0D">
              <w:t>Low capacity</w:t>
            </w:r>
          </w:p>
        </w:tc>
        <w:tc>
          <w:tcPr>
            <w:tcW w:w="4398" w:type="dxa"/>
            <w:shd w:val="clear" w:color="auto" w:fill="auto"/>
            <w:vAlign w:val="center"/>
          </w:tcPr>
          <w:p w14:paraId="2258416A" w14:textId="77777777" w:rsidR="007F17F0" w:rsidRPr="006B7B0D" w:rsidRDefault="007F17F0" w:rsidP="007F17F0"/>
        </w:tc>
      </w:tr>
      <w:tr w:rsidR="007F17F0" w:rsidRPr="006B7B0D" w14:paraId="6F89B1B5" w14:textId="77777777" w:rsidTr="2452D0D6">
        <w:trPr>
          <w:trHeight w:val="63"/>
        </w:trPr>
        <w:tc>
          <w:tcPr>
            <w:tcW w:w="1063" w:type="dxa"/>
            <w:vAlign w:val="center"/>
          </w:tcPr>
          <w:p w14:paraId="55F9E5AB" w14:textId="77777777" w:rsidR="007F17F0" w:rsidRPr="006B7B0D" w:rsidRDefault="007F17F0" w:rsidP="007F17F0">
            <w:r w:rsidRPr="006B7B0D">
              <w:t>14.4.1.3</w:t>
            </w:r>
          </w:p>
        </w:tc>
        <w:tc>
          <w:tcPr>
            <w:tcW w:w="4771" w:type="dxa"/>
            <w:gridSpan w:val="3"/>
            <w:shd w:val="clear" w:color="auto" w:fill="E2EFD9" w:themeFill="accent6" w:themeFillTint="33"/>
            <w:vAlign w:val="center"/>
          </w:tcPr>
          <w:p w14:paraId="6EECB213" w14:textId="77777777" w:rsidR="007F17F0" w:rsidRPr="006B7B0D" w:rsidRDefault="007F17F0" w:rsidP="007F17F0">
            <w:r w:rsidRPr="006B7B0D">
              <w:t>Medium capacity</w:t>
            </w:r>
          </w:p>
        </w:tc>
        <w:tc>
          <w:tcPr>
            <w:tcW w:w="4398" w:type="dxa"/>
            <w:shd w:val="clear" w:color="auto" w:fill="auto"/>
            <w:vAlign w:val="center"/>
          </w:tcPr>
          <w:p w14:paraId="097884C2" w14:textId="77777777" w:rsidR="007F17F0" w:rsidRPr="006B7B0D" w:rsidRDefault="007F17F0" w:rsidP="007F17F0"/>
        </w:tc>
      </w:tr>
      <w:tr w:rsidR="007F17F0" w:rsidRPr="006B7B0D" w14:paraId="58F9C04F" w14:textId="77777777" w:rsidTr="2452D0D6">
        <w:trPr>
          <w:trHeight w:val="63"/>
        </w:trPr>
        <w:tc>
          <w:tcPr>
            <w:tcW w:w="1063" w:type="dxa"/>
            <w:vAlign w:val="center"/>
          </w:tcPr>
          <w:p w14:paraId="1073658B" w14:textId="77777777" w:rsidR="007F17F0" w:rsidRPr="006B7B0D" w:rsidRDefault="007F17F0" w:rsidP="007F17F0">
            <w:r w:rsidRPr="006B7B0D">
              <w:t>14.4.1.4</w:t>
            </w:r>
          </w:p>
        </w:tc>
        <w:tc>
          <w:tcPr>
            <w:tcW w:w="4771" w:type="dxa"/>
            <w:gridSpan w:val="3"/>
            <w:shd w:val="clear" w:color="auto" w:fill="E2EFD9" w:themeFill="accent6" w:themeFillTint="33"/>
            <w:vAlign w:val="center"/>
          </w:tcPr>
          <w:p w14:paraId="360B317B" w14:textId="77777777" w:rsidR="007F17F0" w:rsidRPr="006B7B0D" w:rsidRDefault="007F17F0" w:rsidP="007F17F0">
            <w:r w:rsidRPr="006B7B0D">
              <w:t>High capacity</w:t>
            </w:r>
          </w:p>
        </w:tc>
        <w:tc>
          <w:tcPr>
            <w:tcW w:w="4398" w:type="dxa"/>
            <w:vAlign w:val="center"/>
          </w:tcPr>
          <w:p w14:paraId="6676070F" w14:textId="77777777" w:rsidR="007F17F0" w:rsidRPr="006B7B0D" w:rsidRDefault="007F17F0" w:rsidP="007F17F0"/>
        </w:tc>
      </w:tr>
      <w:tr w:rsidR="007F17F0" w:rsidRPr="006B7B0D" w14:paraId="09425841" w14:textId="77777777" w:rsidTr="2452D0D6">
        <w:trPr>
          <w:trHeight w:val="63"/>
        </w:trPr>
        <w:tc>
          <w:tcPr>
            <w:tcW w:w="1063" w:type="dxa"/>
            <w:vAlign w:val="center"/>
          </w:tcPr>
          <w:p w14:paraId="00538C31" w14:textId="77777777" w:rsidR="007F17F0" w:rsidRPr="006B7B0D" w:rsidRDefault="007F17F0" w:rsidP="007F17F0">
            <w:pPr>
              <w:rPr>
                <w:b/>
                <w:bCs/>
              </w:rPr>
            </w:pPr>
            <w:r w:rsidRPr="006B7B0D">
              <w:rPr>
                <w:b/>
                <w:bCs/>
              </w:rPr>
              <w:t>14.5</w:t>
            </w:r>
          </w:p>
        </w:tc>
        <w:tc>
          <w:tcPr>
            <w:tcW w:w="9169" w:type="dxa"/>
            <w:gridSpan w:val="4"/>
            <w:shd w:val="clear" w:color="auto" w:fill="DEEAF6" w:themeFill="accent5" w:themeFillTint="33"/>
            <w:vAlign w:val="center"/>
          </w:tcPr>
          <w:p w14:paraId="2035E016" w14:textId="77777777" w:rsidR="007F17F0" w:rsidRDefault="007F17F0" w:rsidP="007F17F0">
            <w:pPr>
              <w:rPr>
                <w:b/>
                <w:bCs/>
              </w:rPr>
            </w:pPr>
            <w:r>
              <w:rPr>
                <w:b/>
                <w:bCs/>
              </w:rPr>
              <w:t>Authority number 5</w:t>
            </w:r>
          </w:p>
          <w:p w14:paraId="4DE26CE2" w14:textId="77777777" w:rsidR="007F17F0" w:rsidRPr="00C27879" w:rsidRDefault="007F17F0" w:rsidP="007F17F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7F17F0" w:rsidRDefault="007F17F0" w:rsidP="007F17F0"/>
          <w:p w14:paraId="4CF90BB1" w14:textId="77777777" w:rsidR="007F17F0" w:rsidRPr="006B7B0D" w:rsidRDefault="007F17F0" w:rsidP="007F17F0">
            <w:r w:rsidRPr="006B7B0D">
              <w:t>Name the authority responsible for overseeing implementation and/or enforcement. In the case of EU regulation, limit answers to EU (i.e. supranational) authorities.</w:t>
            </w:r>
          </w:p>
        </w:tc>
      </w:tr>
      <w:tr w:rsidR="007F17F0" w:rsidRPr="006B7B0D" w14:paraId="087D6116" w14:textId="77777777" w:rsidTr="2452D0D6">
        <w:trPr>
          <w:trHeight w:val="533"/>
        </w:trPr>
        <w:tc>
          <w:tcPr>
            <w:tcW w:w="1063" w:type="dxa"/>
            <w:vAlign w:val="center"/>
          </w:tcPr>
          <w:p w14:paraId="51405CA6" w14:textId="77777777" w:rsidR="007F17F0" w:rsidRPr="006B7B0D" w:rsidRDefault="007F17F0" w:rsidP="007F17F0">
            <w:pPr>
              <w:rPr>
                <w:b/>
                <w:bCs/>
              </w:rPr>
            </w:pPr>
          </w:p>
        </w:tc>
        <w:tc>
          <w:tcPr>
            <w:tcW w:w="9169" w:type="dxa"/>
            <w:gridSpan w:val="4"/>
            <w:vAlign w:val="center"/>
          </w:tcPr>
          <w:p w14:paraId="2D2F3E7F" w14:textId="77777777" w:rsidR="007F17F0" w:rsidRPr="006B7B0D" w:rsidRDefault="007F17F0" w:rsidP="007F17F0"/>
        </w:tc>
      </w:tr>
      <w:tr w:rsidR="007F17F0" w:rsidRPr="006B7B0D" w14:paraId="357CC0D4" w14:textId="77777777" w:rsidTr="2452D0D6">
        <w:trPr>
          <w:trHeight w:val="63"/>
        </w:trPr>
        <w:tc>
          <w:tcPr>
            <w:tcW w:w="1063" w:type="dxa"/>
            <w:vAlign w:val="center"/>
          </w:tcPr>
          <w:p w14:paraId="4D023F64" w14:textId="77777777" w:rsidR="007F17F0" w:rsidRPr="006B7B0D" w:rsidRDefault="007F17F0" w:rsidP="007F17F0">
            <w:r w:rsidRPr="006B7B0D">
              <w:t>14.5.1</w:t>
            </w:r>
          </w:p>
        </w:tc>
        <w:tc>
          <w:tcPr>
            <w:tcW w:w="9169" w:type="dxa"/>
            <w:gridSpan w:val="4"/>
            <w:shd w:val="clear" w:color="auto" w:fill="DEEAF6" w:themeFill="accent5" w:themeFillTint="33"/>
            <w:vAlign w:val="center"/>
          </w:tcPr>
          <w:p w14:paraId="6A46B438" w14:textId="77777777" w:rsidR="007F17F0" w:rsidRPr="006B7B0D" w:rsidRDefault="007F17F0" w:rsidP="007F17F0">
            <w:r w:rsidRPr="006B7B0D">
              <w:t>To provide contextual information, indicate the extent to which this authority is perceived as having the capacity to undertake this work. Select the appropriate response using an X.</w:t>
            </w:r>
          </w:p>
        </w:tc>
      </w:tr>
      <w:tr w:rsidR="007F17F0" w:rsidRPr="006B7B0D" w14:paraId="4CADB610" w14:textId="77777777" w:rsidTr="2452D0D6">
        <w:trPr>
          <w:trHeight w:val="63"/>
        </w:trPr>
        <w:tc>
          <w:tcPr>
            <w:tcW w:w="1063" w:type="dxa"/>
            <w:vAlign w:val="center"/>
          </w:tcPr>
          <w:p w14:paraId="0DFE61DB" w14:textId="77777777" w:rsidR="007F17F0" w:rsidRPr="006B7B0D" w:rsidRDefault="007F17F0" w:rsidP="007F17F0">
            <w:r w:rsidRPr="006B7B0D">
              <w:t>14.5.1.1</w:t>
            </w:r>
          </w:p>
        </w:tc>
        <w:tc>
          <w:tcPr>
            <w:tcW w:w="4771" w:type="dxa"/>
            <w:gridSpan w:val="3"/>
            <w:shd w:val="clear" w:color="auto" w:fill="E2EFD9" w:themeFill="accent6" w:themeFillTint="33"/>
            <w:vAlign w:val="center"/>
          </w:tcPr>
          <w:p w14:paraId="72FCC40E" w14:textId="77777777" w:rsidR="007F17F0" w:rsidRPr="006B7B0D" w:rsidRDefault="007F17F0" w:rsidP="007F17F0">
            <w:r w:rsidRPr="006B7B0D">
              <w:t>No capacity</w:t>
            </w:r>
          </w:p>
        </w:tc>
        <w:tc>
          <w:tcPr>
            <w:tcW w:w="4398" w:type="dxa"/>
            <w:shd w:val="clear" w:color="auto" w:fill="auto"/>
            <w:vAlign w:val="center"/>
          </w:tcPr>
          <w:p w14:paraId="65FA4173" w14:textId="77777777" w:rsidR="007F17F0" w:rsidRPr="006B7B0D" w:rsidRDefault="007F17F0" w:rsidP="007F17F0"/>
        </w:tc>
      </w:tr>
      <w:tr w:rsidR="007F17F0" w:rsidRPr="006B7B0D" w14:paraId="40A766AA" w14:textId="77777777" w:rsidTr="2452D0D6">
        <w:trPr>
          <w:trHeight w:val="63"/>
        </w:trPr>
        <w:tc>
          <w:tcPr>
            <w:tcW w:w="1063" w:type="dxa"/>
            <w:vAlign w:val="center"/>
          </w:tcPr>
          <w:p w14:paraId="3F2E631F" w14:textId="77777777" w:rsidR="007F17F0" w:rsidRPr="006B7B0D" w:rsidRDefault="007F17F0" w:rsidP="007F17F0">
            <w:r w:rsidRPr="006B7B0D">
              <w:t>14.5.1.2</w:t>
            </w:r>
          </w:p>
        </w:tc>
        <w:tc>
          <w:tcPr>
            <w:tcW w:w="4771" w:type="dxa"/>
            <w:gridSpan w:val="3"/>
            <w:shd w:val="clear" w:color="auto" w:fill="E2EFD9" w:themeFill="accent6" w:themeFillTint="33"/>
            <w:vAlign w:val="center"/>
          </w:tcPr>
          <w:p w14:paraId="719D77E5" w14:textId="77777777" w:rsidR="007F17F0" w:rsidRPr="006B7B0D" w:rsidRDefault="007F17F0" w:rsidP="007F17F0">
            <w:r w:rsidRPr="006B7B0D">
              <w:t>Low capacity</w:t>
            </w:r>
          </w:p>
        </w:tc>
        <w:tc>
          <w:tcPr>
            <w:tcW w:w="4398" w:type="dxa"/>
            <w:shd w:val="clear" w:color="auto" w:fill="auto"/>
            <w:vAlign w:val="center"/>
          </w:tcPr>
          <w:p w14:paraId="410D9203" w14:textId="77777777" w:rsidR="007F17F0" w:rsidRPr="006B7B0D" w:rsidRDefault="007F17F0" w:rsidP="007F17F0"/>
        </w:tc>
      </w:tr>
      <w:tr w:rsidR="007F17F0" w:rsidRPr="006B7B0D" w14:paraId="519F945D" w14:textId="77777777" w:rsidTr="2452D0D6">
        <w:trPr>
          <w:trHeight w:val="63"/>
        </w:trPr>
        <w:tc>
          <w:tcPr>
            <w:tcW w:w="1063" w:type="dxa"/>
            <w:vAlign w:val="center"/>
          </w:tcPr>
          <w:p w14:paraId="711A5EF9" w14:textId="77777777" w:rsidR="007F17F0" w:rsidRPr="006B7B0D" w:rsidRDefault="007F17F0" w:rsidP="007F17F0">
            <w:r w:rsidRPr="006B7B0D">
              <w:t>14.5.1.3</w:t>
            </w:r>
          </w:p>
        </w:tc>
        <w:tc>
          <w:tcPr>
            <w:tcW w:w="4771" w:type="dxa"/>
            <w:gridSpan w:val="3"/>
            <w:shd w:val="clear" w:color="auto" w:fill="E2EFD9" w:themeFill="accent6" w:themeFillTint="33"/>
            <w:vAlign w:val="center"/>
          </w:tcPr>
          <w:p w14:paraId="1BBA60C8" w14:textId="77777777" w:rsidR="007F17F0" w:rsidRPr="006B7B0D" w:rsidRDefault="007F17F0" w:rsidP="007F17F0">
            <w:r w:rsidRPr="006B7B0D">
              <w:t>Medium capacity</w:t>
            </w:r>
          </w:p>
        </w:tc>
        <w:tc>
          <w:tcPr>
            <w:tcW w:w="4398" w:type="dxa"/>
            <w:shd w:val="clear" w:color="auto" w:fill="auto"/>
            <w:vAlign w:val="center"/>
          </w:tcPr>
          <w:p w14:paraId="581FA8E7" w14:textId="77777777" w:rsidR="007F17F0" w:rsidRPr="006B7B0D" w:rsidRDefault="007F17F0" w:rsidP="007F17F0"/>
        </w:tc>
      </w:tr>
      <w:tr w:rsidR="007F17F0" w:rsidRPr="006B7B0D" w14:paraId="17FA048F" w14:textId="77777777" w:rsidTr="2452D0D6">
        <w:trPr>
          <w:trHeight w:val="63"/>
        </w:trPr>
        <w:tc>
          <w:tcPr>
            <w:tcW w:w="1063" w:type="dxa"/>
            <w:vAlign w:val="center"/>
          </w:tcPr>
          <w:p w14:paraId="720B8395" w14:textId="77777777" w:rsidR="007F17F0" w:rsidRPr="006B7B0D" w:rsidRDefault="007F17F0" w:rsidP="007F17F0">
            <w:r w:rsidRPr="006B7B0D">
              <w:t>14.5.1.4</w:t>
            </w:r>
          </w:p>
        </w:tc>
        <w:tc>
          <w:tcPr>
            <w:tcW w:w="4771" w:type="dxa"/>
            <w:gridSpan w:val="3"/>
            <w:shd w:val="clear" w:color="auto" w:fill="E2EFD9" w:themeFill="accent6" w:themeFillTint="33"/>
            <w:vAlign w:val="center"/>
          </w:tcPr>
          <w:p w14:paraId="3EC3D620" w14:textId="77777777" w:rsidR="007F17F0" w:rsidRPr="006B7B0D" w:rsidRDefault="007F17F0" w:rsidP="007F17F0">
            <w:r w:rsidRPr="006B7B0D">
              <w:t>High capacity</w:t>
            </w:r>
          </w:p>
        </w:tc>
        <w:tc>
          <w:tcPr>
            <w:tcW w:w="4398" w:type="dxa"/>
            <w:vAlign w:val="center"/>
          </w:tcPr>
          <w:p w14:paraId="79FA7226" w14:textId="77777777" w:rsidR="007F17F0" w:rsidRPr="006B7B0D" w:rsidRDefault="007F17F0" w:rsidP="007F17F0"/>
        </w:tc>
      </w:tr>
      <w:tr w:rsidR="007F17F0" w14:paraId="5949482C" w14:textId="77777777" w:rsidTr="2452D0D6">
        <w:trPr>
          <w:trHeight w:val="984"/>
        </w:trPr>
        <w:tc>
          <w:tcPr>
            <w:tcW w:w="1063" w:type="dxa"/>
            <w:vAlign w:val="center"/>
          </w:tcPr>
          <w:p w14:paraId="6D8D92E0" w14:textId="77777777" w:rsidR="007F17F0" w:rsidRPr="00BA1D39" w:rsidRDefault="007F17F0" w:rsidP="007F17F0">
            <w:pPr>
              <w:rPr>
                <w:b/>
                <w:bCs/>
              </w:rPr>
            </w:pPr>
            <w:r w:rsidRPr="00BA1D39">
              <w:rPr>
                <w:b/>
                <w:bCs/>
              </w:rPr>
              <w:t>15</w:t>
            </w:r>
          </w:p>
        </w:tc>
        <w:tc>
          <w:tcPr>
            <w:tcW w:w="9169" w:type="dxa"/>
            <w:gridSpan w:val="4"/>
            <w:shd w:val="clear" w:color="auto" w:fill="DEEAF6" w:themeFill="accent5" w:themeFillTint="33"/>
            <w:vAlign w:val="center"/>
          </w:tcPr>
          <w:p w14:paraId="6B488CAA" w14:textId="77777777" w:rsidR="007F17F0" w:rsidRDefault="007F17F0" w:rsidP="007F17F0">
            <w:r>
              <w:t>If relevant, please provide additional information to clarify the reasoning behind the response to Q14.</w:t>
            </w:r>
          </w:p>
        </w:tc>
      </w:tr>
      <w:tr w:rsidR="007F17F0" w14:paraId="50F2DDFC" w14:textId="77777777" w:rsidTr="2452D0D6">
        <w:trPr>
          <w:trHeight w:val="1020"/>
        </w:trPr>
        <w:tc>
          <w:tcPr>
            <w:tcW w:w="1063" w:type="dxa"/>
            <w:vAlign w:val="center"/>
          </w:tcPr>
          <w:p w14:paraId="6B62A7E8" w14:textId="77777777" w:rsidR="007F17F0" w:rsidRDefault="007F17F0" w:rsidP="007F17F0"/>
        </w:tc>
        <w:tc>
          <w:tcPr>
            <w:tcW w:w="9169" w:type="dxa"/>
            <w:gridSpan w:val="4"/>
            <w:shd w:val="clear" w:color="auto" w:fill="auto"/>
            <w:vAlign w:val="center"/>
          </w:tcPr>
          <w:p w14:paraId="06F56665" w14:textId="77777777" w:rsidR="002C4B46" w:rsidRDefault="002C4B46" w:rsidP="007F17F0">
            <w:r w:rsidRPr="00075C46">
              <w:t xml:space="preserve">Under Articles 12, 14, 15, 19, 20(2), 27, and 30, </w:t>
            </w:r>
            <w:r>
              <w:t>the European Commission</w:t>
            </w:r>
            <w:r w:rsidRPr="00075C46">
              <w:t xml:space="preserve"> manages the central CBAM registry and platform, oversees and reviews declarations, conducts risk-based controls to detect irregularities, and supports national authorities. The Commission also monitors and investigates attempts to circumvent the rules and regularly reports on the mechanism’s effectiveness. </w:t>
            </w:r>
          </w:p>
          <w:p w14:paraId="42D06D03" w14:textId="6D523CDA" w:rsidR="007F17F0" w:rsidRDefault="002C4B46" w:rsidP="007F17F0">
            <w:r w:rsidRPr="00075C46">
              <w:t>While national authorities handle daily operations, the Commission ensures coordination, uniform application, and enforcement across all Member States.</w:t>
            </w:r>
          </w:p>
        </w:tc>
      </w:tr>
      <w:tr w:rsidR="007F17F0" w14:paraId="7C1E73C1" w14:textId="77777777" w:rsidTr="2452D0D6">
        <w:trPr>
          <w:trHeight w:val="800"/>
        </w:trPr>
        <w:tc>
          <w:tcPr>
            <w:tcW w:w="1063" w:type="dxa"/>
            <w:vAlign w:val="center"/>
          </w:tcPr>
          <w:p w14:paraId="103AFAD8" w14:textId="77777777" w:rsidR="007F17F0" w:rsidRPr="00BA1D39" w:rsidRDefault="007F17F0" w:rsidP="007F17F0">
            <w:pPr>
              <w:rPr>
                <w:b/>
                <w:bCs/>
              </w:rPr>
            </w:pPr>
            <w:r w:rsidRPr="00BA1D39">
              <w:rPr>
                <w:b/>
                <w:bCs/>
              </w:rPr>
              <w:t>16</w:t>
            </w:r>
          </w:p>
        </w:tc>
        <w:tc>
          <w:tcPr>
            <w:tcW w:w="9169" w:type="dxa"/>
            <w:gridSpan w:val="4"/>
            <w:shd w:val="clear" w:color="auto" w:fill="DEEAF6" w:themeFill="accent5" w:themeFillTint="33"/>
            <w:vAlign w:val="center"/>
          </w:tcPr>
          <w:p w14:paraId="41B5F255" w14:textId="6FEDF21D" w:rsidR="007F17F0" w:rsidRDefault="007F17F0" w:rsidP="007F17F0">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7F17F0" w14:paraId="619A4BF8" w14:textId="77777777" w:rsidTr="2452D0D6">
        <w:trPr>
          <w:trHeight w:val="57"/>
        </w:trPr>
        <w:tc>
          <w:tcPr>
            <w:tcW w:w="1063" w:type="dxa"/>
            <w:vAlign w:val="center"/>
          </w:tcPr>
          <w:p w14:paraId="374B9AE4" w14:textId="77777777" w:rsidR="007F17F0" w:rsidRDefault="007F17F0" w:rsidP="007F17F0">
            <w:r>
              <w:t>16.1</w:t>
            </w:r>
          </w:p>
        </w:tc>
        <w:tc>
          <w:tcPr>
            <w:tcW w:w="4686" w:type="dxa"/>
            <w:gridSpan w:val="2"/>
            <w:shd w:val="clear" w:color="auto" w:fill="E2EFD9" w:themeFill="accent6" w:themeFillTint="33"/>
            <w:vAlign w:val="center"/>
          </w:tcPr>
          <w:p w14:paraId="6A81E655" w14:textId="77777777" w:rsidR="007F17F0" w:rsidRDefault="007F17F0" w:rsidP="007F17F0">
            <w:r>
              <w:t>Not specified</w:t>
            </w:r>
          </w:p>
        </w:tc>
        <w:tc>
          <w:tcPr>
            <w:tcW w:w="4483" w:type="dxa"/>
            <w:gridSpan w:val="2"/>
            <w:shd w:val="clear" w:color="auto" w:fill="auto"/>
            <w:vAlign w:val="center"/>
          </w:tcPr>
          <w:p w14:paraId="146E2BFD" w14:textId="77777777" w:rsidR="007F17F0" w:rsidRDefault="007F17F0" w:rsidP="007F17F0"/>
        </w:tc>
      </w:tr>
      <w:tr w:rsidR="007F17F0" w14:paraId="461D4D38" w14:textId="77777777" w:rsidTr="2452D0D6">
        <w:trPr>
          <w:trHeight w:val="57"/>
        </w:trPr>
        <w:tc>
          <w:tcPr>
            <w:tcW w:w="1063" w:type="dxa"/>
            <w:vAlign w:val="center"/>
          </w:tcPr>
          <w:p w14:paraId="776158BC" w14:textId="77777777" w:rsidR="007F17F0" w:rsidRDefault="007F17F0" w:rsidP="007F17F0">
            <w:r>
              <w:t>16.2</w:t>
            </w:r>
          </w:p>
        </w:tc>
        <w:tc>
          <w:tcPr>
            <w:tcW w:w="4686" w:type="dxa"/>
            <w:gridSpan w:val="2"/>
            <w:shd w:val="clear" w:color="auto" w:fill="E2EFD9" w:themeFill="accent6" w:themeFillTint="33"/>
            <w:vAlign w:val="center"/>
          </w:tcPr>
          <w:p w14:paraId="6C9616DC" w14:textId="77777777" w:rsidR="007F17F0" w:rsidRDefault="007F17F0" w:rsidP="007F17F0">
            <w:r>
              <w:t>Yes</w:t>
            </w:r>
          </w:p>
        </w:tc>
        <w:tc>
          <w:tcPr>
            <w:tcW w:w="4483" w:type="dxa"/>
            <w:gridSpan w:val="2"/>
            <w:shd w:val="clear" w:color="auto" w:fill="auto"/>
            <w:vAlign w:val="center"/>
          </w:tcPr>
          <w:p w14:paraId="54F7EBC8" w14:textId="65B99310" w:rsidR="007F17F0" w:rsidRDefault="00B66F87" w:rsidP="007F17F0">
            <w:r>
              <w:t>X</w:t>
            </w:r>
          </w:p>
        </w:tc>
      </w:tr>
      <w:tr w:rsidR="007F17F0" w14:paraId="0763562F" w14:textId="77777777" w:rsidTr="2452D0D6">
        <w:trPr>
          <w:trHeight w:val="1267"/>
        </w:trPr>
        <w:tc>
          <w:tcPr>
            <w:tcW w:w="1063" w:type="dxa"/>
            <w:vAlign w:val="center"/>
          </w:tcPr>
          <w:p w14:paraId="6D2836F5" w14:textId="77777777" w:rsidR="007F17F0" w:rsidRPr="00BA1D39" w:rsidRDefault="007F17F0" w:rsidP="007F17F0">
            <w:pPr>
              <w:rPr>
                <w:b/>
                <w:bCs/>
              </w:rPr>
            </w:pPr>
            <w:r w:rsidRPr="00BA1D39">
              <w:rPr>
                <w:b/>
                <w:bCs/>
              </w:rPr>
              <w:t>17</w:t>
            </w:r>
          </w:p>
        </w:tc>
        <w:tc>
          <w:tcPr>
            <w:tcW w:w="9169" w:type="dxa"/>
            <w:gridSpan w:val="4"/>
            <w:shd w:val="clear" w:color="auto" w:fill="DEEAF6" w:themeFill="accent5" w:themeFillTint="33"/>
            <w:vAlign w:val="center"/>
          </w:tcPr>
          <w:p w14:paraId="3AD13822" w14:textId="4E9275D6" w:rsidR="007F17F0" w:rsidRDefault="007F17F0" w:rsidP="007F17F0">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7F17F0" w:rsidRPr="008017F9" w14:paraId="0F291701" w14:textId="77777777" w:rsidTr="2452D0D6">
        <w:trPr>
          <w:trHeight w:val="1020"/>
        </w:trPr>
        <w:tc>
          <w:tcPr>
            <w:tcW w:w="1063" w:type="dxa"/>
            <w:vAlign w:val="center"/>
          </w:tcPr>
          <w:p w14:paraId="08EDF6C9" w14:textId="77777777" w:rsidR="007F17F0" w:rsidRDefault="007F17F0" w:rsidP="007F17F0"/>
        </w:tc>
        <w:tc>
          <w:tcPr>
            <w:tcW w:w="9169" w:type="dxa"/>
            <w:gridSpan w:val="4"/>
            <w:shd w:val="clear" w:color="auto" w:fill="auto"/>
            <w:vAlign w:val="center"/>
          </w:tcPr>
          <w:p w14:paraId="2C2128DB" w14:textId="1E23A8A8" w:rsidR="007F17F0" w:rsidRPr="008017F9" w:rsidRDefault="003A02A0" w:rsidP="007F17F0">
            <w:pPr>
              <w:keepNext/>
              <w:rPr>
                <w:color w:val="000000" w:themeColor="text1"/>
              </w:rPr>
            </w:pPr>
            <w:r>
              <w:rPr>
                <w:color w:val="000000" w:themeColor="text1"/>
              </w:rPr>
              <w:t xml:space="preserve">According to </w:t>
            </w:r>
            <w:r w:rsidR="00B75CC2">
              <w:rPr>
                <w:color w:val="000000" w:themeColor="text1"/>
              </w:rPr>
              <w:t>A</w:t>
            </w:r>
            <w:r>
              <w:rPr>
                <w:color w:val="000000" w:themeColor="text1"/>
              </w:rPr>
              <w:t>rticle 30 the</w:t>
            </w:r>
            <w:r w:rsidRPr="003A02A0">
              <w:rPr>
                <w:color w:val="000000" w:themeColor="text1"/>
              </w:rPr>
              <w:t xml:space="preserve"> Commission is responsible for regularly reviewing and reporting on the implementation and possible expansion of the CBAM. Before the end of the transitional period</w:t>
            </w:r>
            <w:r>
              <w:rPr>
                <w:color w:val="000000" w:themeColor="text1"/>
              </w:rPr>
              <w:t xml:space="preserve"> (December 31</w:t>
            </w:r>
            <w:r w:rsidRPr="003A02A0">
              <w:rPr>
                <w:color w:val="000000" w:themeColor="text1"/>
                <w:vertAlign w:val="superscript"/>
              </w:rPr>
              <w:t>st</w:t>
            </w:r>
            <w:r>
              <w:rPr>
                <w:color w:val="000000" w:themeColor="text1"/>
                <w:vertAlign w:val="superscript"/>
              </w:rPr>
              <w:t xml:space="preserve">, </w:t>
            </w:r>
            <w:r>
              <w:rPr>
                <w:color w:val="000000" w:themeColor="text1"/>
              </w:rPr>
              <w:t>2025)</w:t>
            </w:r>
            <w:r w:rsidRPr="003A02A0">
              <w:rPr>
                <w:color w:val="000000" w:themeColor="text1"/>
              </w:rPr>
              <w:t>, it must assess whether to extend the Regulation’s scope to additional emissions and goods, and report on technical, economic, and international impacts, including effects on developing countries. These reports may lead to legislative proposals. After the transitional period, the Commission must continue to monitor and report every two years on CBAM’s effectiveness, its impact on trade and carbon leakage, and the decarbonisation of least developed countries, proposing further measures if needed.</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34355858" w:rsidR="00D4323A" w:rsidRPr="00CF2E7C" w:rsidRDefault="00F74070"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D8AFC8F" w:rsidR="00D4323A" w:rsidRPr="00CF2E7C" w:rsidRDefault="00F74070"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807FCEC" w:rsidR="00D4323A" w:rsidRPr="00CF2E7C" w:rsidRDefault="00F74070"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57ED70E" w:rsidR="00D4323A" w:rsidRPr="00CF2E7C" w:rsidRDefault="00F74070"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E0D0E73" w:rsidR="00D4323A" w:rsidRPr="00CF2E7C" w:rsidRDefault="00F74070"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72EA5B7" w:rsidR="00D4323A" w:rsidRPr="00CF2E7C" w:rsidRDefault="0017384F"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39858D1" w:rsidR="00D4323A" w:rsidRPr="00CF2E7C" w:rsidRDefault="0017384F"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693FCA8" w:rsidR="00D4323A" w:rsidRPr="00CF2E7C" w:rsidRDefault="0017384F"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6506B61" w:rsidR="00D4323A" w:rsidRPr="00CF2E7C" w:rsidRDefault="0017384F"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6346AD8" w:rsidR="00D4323A" w:rsidRPr="00CF2E7C" w:rsidRDefault="0017384F"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3F384A9" w:rsidR="00D4323A" w:rsidRPr="00CF2E7C" w:rsidRDefault="0017384F"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03516F8" w:rsidR="00D4323A" w:rsidRPr="00CF2E7C" w:rsidRDefault="0017384F"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D2A45F5"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6B391298"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0FBDEDEA" w:rsidR="00092534" w:rsidRPr="00CF2E7C" w:rsidRDefault="008F5FC1" w:rsidP="00CF2E7C">
            <w:pPr>
              <w:rPr>
                <w:rFonts w:ascii="Calibri" w:hAnsi="Calibri" w:cs="Calibri"/>
              </w:rPr>
            </w:pPr>
            <w:r>
              <w:rPr>
                <w:rFonts w:ascii="Calibri" w:hAnsi="Calibri" w:cs="Calibri"/>
              </w:rPr>
              <w:t>X</w:t>
            </w:r>
          </w:p>
        </w:tc>
        <w:tc>
          <w:tcPr>
            <w:tcW w:w="1674" w:type="dxa"/>
            <w:vAlign w:val="center"/>
          </w:tcPr>
          <w:p w14:paraId="467CF02B" w14:textId="06E163CA"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6ADCD632" w:rsidR="00092534" w:rsidRPr="00CF2E7C" w:rsidRDefault="00421725" w:rsidP="00CF2E7C">
            <w:pPr>
              <w:rPr>
                <w:rFonts w:ascii="Calibri" w:hAnsi="Calibri" w:cs="Calibri"/>
              </w:rPr>
            </w:pPr>
            <w:r>
              <w:rPr>
                <w:rFonts w:ascii="Calibri" w:hAnsi="Calibri" w:cs="Calibri"/>
              </w:rPr>
              <w:t xml:space="preserve">Importers of cement, electricity, fertilisers, iron and steel, aluminium and chemicals. </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766A715" w14:textId="3C1EDDBA" w:rsidR="00092534" w:rsidRDefault="00EA45AC" w:rsidP="00EA45AC">
            <w:pPr>
              <w:pStyle w:val="ListParagraph"/>
              <w:numPr>
                <w:ilvl w:val="0"/>
                <w:numId w:val="51"/>
              </w:numPr>
              <w:rPr>
                <w:rFonts w:ascii="Calibri" w:hAnsi="Calibri" w:cs="Calibri"/>
              </w:rPr>
            </w:pPr>
            <w:r>
              <w:rPr>
                <w:rFonts w:ascii="Calibri" w:hAnsi="Calibri" w:cs="Calibri"/>
              </w:rPr>
              <w:t xml:space="preserve">CBAM only applies to specific goods </w:t>
            </w:r>
            <w:r w:rsidR="00E83586">
              <w:rPr>
                <w:rFonts w:ascii="Calibri" w:hAnsi="Calibri" w:cs="Calibri"/>
              </w:rPr>
              <w:t>(Article 2(1) and 2(2), Annex I)</w:t>
            </w:r>
            <w:r w:rsidR="001C135A">
              <w:rPr>
                <w:rFonts w:ascii="Calibri" w:hAnsi="Calibri" w:cs="Calibri"/>
              </w:rPr>
              <w:t xml:space="preserve"> that exceed </w:t>
            </w:r>
            <w:r w:rsidR="00165E1C" w:rsidRPr="00165E1C">
              <w:rPr>
                <w:rFonts w:ascii="Calibri" w:hAnsi="Calibri" w:cs="Calibri"/>
              </w:rPr>
              <w:t>per consignment, the value specified for goods of negligible value as referred to in Article 23 of Council Regulation (EC) No 1186/2009</w:t>
            </w:r>
            <w:r w:rsidR="00165E1C">
              <w:rPr>
                <w:rFonts w:ascii="Calibri" w:hAnsi="Calibri" w:cs="Calibri"/>
              </w:rPr>
              <w:t xml:space="preserve"> (Article 2(3a</w:t>
            </w:r>
            <w:r w:rsidR="00E56651">
              <w:rPr>
                <w:rFonts w:ascii="Calibri" w:hAnsi="Calibri" w:cs="Calibri"/>
              </w:rPr>
              <w:t>-b</w:t>
            </w:r>
            <w:r w:rsidR="00165E1C">
              <w:rPr>
                <w:rFonts w:ascii="Calibri" w:hAnsi="Calibri" w:cs="Calibri"/>
              </w:rPr>
              <w:t>)</w:t>
            </w:r>
            <w:r w:rsidR="00614139">
              <w:rPr>
                <w:rFonts w:ascii="Calibri" w:hAnsi="Calibri" w:cs="Calibri"/>
              </w:rPr>
              <w:t xml:space="preserve">. </w:t>
            </w:r>
            <w:r w:rsidR="00E56651">
              <w:rPr>
                <w:rFonts w:ascii="Calibri" w:hAnsi="Calibri" w:cs="Calibri"/>
              </w:rPr>
              <w:t xml:space="preserve">CBAM does not apply to goods in the context of military activities (Article 2(3c). </w:t>
            </w:r>
          </w:p>
          <w:p w14:paraId="3B9810F8" w14:textId="2F5DF8AC" w:rsidR="00A960E7" w:rsidRPr="00186C5F" w:rsidRDefault="00E83586" w:rsidP="00186C5F">
            <w:pPr>
              <w:pStyle w:val="ListParagraph"/>
              <w:numPr>
                <w:ilvl w:val="0"/>
                <w:numId w:val="51"/>
              </w:numPr>
              <w:rPr>
                <w:rFonts w:ascii="Calibri" w:hAnsi="Calibri" w:cs="Calibri"/>
              </w:rPr>
            </w:pPr>
            <w:r>
              <w:rPr>
                <w:rFonts w:ascii="Calibri" w:hAnsi="Calibri" w:cs="Calibri"/>
              </w:rPr>
              <w:t>CB</w:t>
            </w:r>
            <w:r w:rsidR="005A55F7">
              <w:rPr>
                <w:rFonts w:ascii="Calibri" w:hAnsi="Calibri" w:cs="Calibri"/>
              </w:rPr>
              <w:t>AM</w:t>
            </w:r>
            <w:r>
              <w:rPr>
                <w:rFonts w:ascii="Calibri" w:hAnsi="Calibri" w:cs="Calibri"/>
              </w:rPr>
              <w:t xml:space="preserve"> only applies to goods imported from third countries, with exceptions for </w:t>
            </w:r>
            <w:r w:rsidR="00376CA5" w:rsidRPr="00376CA5">
              <w:rPr>
                <w:rFonts w:ascii="Calibri" w:hAnsi="Calibri" w:cs="Calibri"/>
              </w:rPr>
              <w:t>countries/territories where the EU ETS or a fully linked carbon pricing system applies</w:t>
            </w:r>
            <w:r w:rsidR="00376CA5">
              <w:rPr>
                <w:rFonts w:ascii="Calibri" w:hAnsi="Calibri" w:cs="Calibri"/>
              </w:rPr>
              <w:t xml:space="preserve"> (Article 2(</w:t>
            </w:r>
            <w:r w:rsidR="008B2612">
              <w:rPr>
                <w:rFonts w:ascii="Calibri" w:hAnsi="Calibri" w:cs="Calibri"/>
              </w:rPr>
              <w:t>6</w:t>
            </w:r>
            <w:r w:rsidR="00376CA5">
              <w:rPr>
                <w:rFonts w:ascii="Calibri" w:hAnsi="Calibri" w:cs="Calibri"/>
              </w:rPr>
              <w: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213D0706" w:rsidR="00092534" w:rsidRPr="00CF2E7C" w:rsidRDefault="00B1794B"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68C66814" w:rsidR="00092534" w:rsidRPr="00B1794B" w:rsidRDefault="00092534" w:rsidP="00CF2E7C">
            <w:pPr>
              <w:rPr>
                <w:rFonts w:ascii="Calibri" w:hAnsi="Calibri" w:cs="Calibri"/>
                <w:b/>
                <w:bCs/>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20EB51F4" w:rsidR="00DB1E72" w:rsidRPr="00CF2E7C" w:rsidRDefault="00F94062"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01C75921"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lastRenderedPageBreak/>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617EEC40" w:rsidR="00DB1E72" w:rsidRPr="00CF2E7C" w:rsidRDefault="00E6764D"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0541B52" w14:textId="43199914" w:rsidR="00DB1E72" w:rsidRDefault="00F94062" w:rsidP="0008646E">
            <w:pPr>
              <w:pStyle w:val="ListParagraph"/>
              <w:numPr>
                <w:ilvl w:val="0"/>
                <w:numId w:val="56"/>
              </w:numPr>
              <w:rPr>
                <w:rFonts w:ascii="Calibri" w:hAnsi="Calibri" w:cs="Calibri"/>
              </w:rPr>
            </w:pPr>
            <w:r w:rsidRPr="0008646E">
              <w:rPr>
                <w:rFonts w:ascii="Calibri" w:hAnsi="Calibri" w:cs="Calibri"/>
              </w:rPr>
              <w:t xml:space="preserve">If CBAM declarants </w:t>
            </w:r>
            <w:r w:rsidR="006D32CF">
              <w:rPr>
                <w:rFonts w:ascii="Calibri" w:hAnsi="Calibri" w:cs="Calibri"/>
              </w:rPr>
              <w:t>f</w:t>
            </w:r>
            <w:r w:rsidR="00105770" w:rsidRPr="0008646E">
              <w:rPr>
                <w:rFonts w:ascii="Calibri" w:hAnsi="Calibri" w:cs="Calibri"/>
              </w:rPr>
              <w:t>ail to surrender the required number of CBAM certificates by 31 May each year, they must pay a penalty identical to the “excess emissions penalty” under Article 16(3) of Directive 2003/87/EC (EU ETS), as increased by Article 16(4) of that Directive, applicable in the year of importation</w:t>
            </w:r>
            <w:r w:rsidR="00DE1921" w:rsidRPr="0008646E">
              <w:rPr>
                <w:rFonts w:ascii="Calibri" w:hAnsi="Calibri" w:cs="Calibri"/>
              </w:rPr>
              <w:t xml:space="preserve"> (Article </w:t>
            </w:r>
            <w:r w:rsidR="00DE1921" w:rsidRPr="007D65D1">
              <w:rPr>
                <w:rFonts w:ascii="Calibri" w:hAnsi="Calibri" w:cs="Calibri"/>
              </w:rPr>
              <w:t>26(</w:t>
            </w:r>
            <w:r w:rsidR="0002126B" w:rsidRPr="007D65D1">
              <w:rPr>
                <w:rFonts w:ascii="Calibri" w:hAnsi="Calibri" w:cs="Calibri"/>
              </w:rPr>
              <w:t>1)</w:t>
            </w:r>
            <w:r w:rsidR="0008646E" w:rsidRPr="007D65D1">
              <w:rPr>
                <w:rFonts w:ascii="Calibri" w:hAnsi="Calibri" w:cs="Calibri"/>
              </w:rPr>
              <w:t xml:space="preserve">). </w:t>
            </w:r>
            <w:r w:rsidR="00A95705" w:rsidRPr="007D65D1">
              <w:rPr>
                <w:rFonts w:ascii="Calibri" w:hAnsi="Calibri" w:cs="Calibri"/>
              </w:rPr>
              <w:t>Payment of the penalty does not release the declarant</w:t>
            </w:r>
            <w:r w:rsidR="00A95705" w:rsidRPr="00A95705">
              <w:rPr>
                <w:rFonts w:ascii="Calibri" w:hAnsi="Calibri" w:cs="Calibri"/>
                <w:b/>
                <w:bCs/>
              </w:rPr>
              <w:t xml:space="preserve"> </w:t>
            </w:r>
            <w:r w:rsidR="00A95705" w:rsidRPr="007D65D1">
              <w:rPr>
                <w:rFonts w:ascii="Calibri" w:hAnsi="Calibri" w:cs="Calibri"/>
              </w:rPr>
              <w:t>from the obligation to surrender</w:t>
            </w:r>
            <w:r w:rsidR="00A95705" w:rsidRPr="00A95705">
              <w:rPr>
                <w:rFonts w:ascii="Calibri" w:hAnsi="Calibri" w:cs="Calibri"/>
              </w:rPr>
              <w:t xml:space="preserve"> the outstanding CBAM certificates</w:t>
            </w:r>
            <w:r w:rsidR="007D65D1">
              <w:rPr>
                <w:rFonts w:ascii="Calibri" w:hAnsi="Calibri" w:cs="Calibri"/>
              </w:rPr>
              <w:t xml:space="preserve"> (Article 26(3))</w:t>
            </w:r>
            <w:r w:rsidR="00186C5F">
              <w:rPr>
                <w:rFonts w:ascii="Calibri" w:hAnsi="Calibri" w:cs="Calibri"/>
              </w:rPr>
              <w:t>.</w:t>
            </w:r>
          </w:p>
          <w:p w14:paraId="0A1CDB7C" w14:textId="77777777" w:rsidR="0008646E" w:rsidRDefault="0008646E" w:rsidP="0008646E">
            <w:pPr>
              <w:pStyle w:val="ListParagraph"/>
              <w:numPr>
                <w:ilvl w:val="0"/>
                <w:numId w:val="56"/>
              </w:numPr>
              <w:rPr>
                <w:rFonts w:ascii="Calibri" w:hAnsi="Calibri" w:cs="Calibri"/>
              </w:rPr>
            </w:pPr>
            <w:r w:rsidRPr="0008646E">
              <w:rPr>
                <w:rFonts w:ascii="Calibri" w:hAnsi="Calibri" w:cs="Calibri"/>
              </w:rPr>
              <w:t>Where a person other than an authorised CBAM declarant introduces goods into the customs territory of the Union without complying with the obligations under this Regulation, that person shall be held liable for the payment of a penalty. Such a penalty shall be effective, proportionate and dissuasive and shall, depending in particular on the duration, gravity, scope, intentional nature and repetition of such non-compliance and the level of cooperation of the person with the competent authority, be an amount from three to five times the penalty referred to in paragraph 1, applicable in the year of introduction of the goods, for each CBAM certificate that the person has not surrendered</w:t>
            </w:r>
            <w:r w:rsidR="007366BD">
              <w:rPr>
                <w:rFonts w:ascii="Calibri" w:hAnsi="Calibri" w:cs="Calibri"/>
              </w:rPr>
              <w:t xml:space="preserve"> (Article 26(2)). </w:t>
            </w:r>
          </w:p>
          <w:p w14:paraId="1410EB6F" w14:textId="780D3B01" w:rsidR="00633BE6" w:rsidRPr="00013F1F" w:rsidRDefault="005A3650" w:rsidP="00633BE6">
            <w:pPr>
              <w:pStyle w:val="ListParagraph"/>
              <w:numPr>
                <w:ilvl w:val="0"/>
                <w:numId w:val="56"/>
              </w:numPr>
              <w:rPr>
                <w:rFonts w:ascii="Calibri" w:hAnsi="Calibri" w:cs="Calibri"/>
              </w:rPr>
            </w:pPr>
            <w:r>
              <w:rPr>
                <w:rFonts w:ascii="Calibri" w:hAnsi="Calibri" w:cs="Calibri"/>
              </w:rPr>
              <w:t xml:space="preserve">If CBAM declarant submits an incorrect declaration the </w:t>
            </w:r>
            <w:r w:rsidR="00633BE6" w:rsidRPr="00633BE6">
              <w:rPr>
                <w:rFonts w:ascii="Calibri" w:hAnsi="Calibri" w:cs="Calibri"/>
              </w:rPr>
              <w:t>competent authority determines the correct number of certificates to surrender.</w:t>
            </w:r>
            <w:r w:rsidR="00633BE6">
              <w:rPr>
                <w:rFonts w:ascii="Calibri" w:hAnsi="Calibri" w:cs="Calibri"/>
              </w:rPr>
              <w:t xml:space="preserve"> </w:t>
            </w:r>
            <w:r w:rsidR="00633BE6" w:rsidRPr="00633BE6">
              <w:rPr>
                <w:rFonts w:ascii="Calibri" w:hAnsi="Calibri" w:cs="Calibri"/>
              </w:rPr>
              <w:t>The declarant must surrender the missing certificates within</w:t>
            </w:r>
            <w:r w:rsidR="00633BE6" w:rsidRPr="00013F1F">
              <w:rPr>
                <w:rFonts w:ascii="Calibri" w:hAnsi="Calibri" w:cs="Calibri"/>
              </w:rPr>
              <w:t> one month</w:t>
            </w:r>
            <w:r w:rsidR="00C4561E" w:rsidRPr="00013F1F">
              <w:rPr>
                <w:rFonts w:ascii="Calibri" w:hAnsi="Calibri" w:cs="Calibri"/>
              </w:rPr>
              <w:t xml:space="preserve"> (Article 19(5)). </w:t>
            </w:r>
          </w:p>
          <w:p w14:paraId="7CC5C002" w14:textId="5855FBDC" w:rsidR="002579D3" w:rsidRPr="005D342C" w:rsidRDefault="00554093" w:rsidP="005D342C">
            <w:pPr>
              <w:pStyle w:val="ListParagraph"/>
              <w:numPr>
                <w:ilvl w:val="0"/>
                <w:numId w:val="56"/>
              </w:numPr>
              <w:rPr>
                <w:rFonts w:ascii="Calibri" w:hAnsi="Calibri" w:cs="Calibri"/>
              </w:rPr>
            </w:pPr>
            <w:r w:rsidRPr="00013F1F">
              <w:rPr>
                <w:rFonts w:ascii="Calibri" w:hAnsi="Calibri" w:cs="Calibri"/>
              </w:rPr>
              <w:t xml:space="preserve">If the CBAM declarant does not maintain at least 80% of the required certificates in their account at the end of a quarter. The competent authority issues a warning and gives one </w:t>
            </w:r>
            <w:r w:rsidRPr="00952D89">
              <w:rPr>
                <w:rFonts w:ascii="Calibri" w:hAnsi="Calibri" w:cs="Calibri"/>
              </w:rPr>
              <w:t>month to rectify the shortfall</w:t>
            </w:r>
            <w:r w:rsidR="00013F1F" w:rsidRPr="00952D89">
              <w:rPr>
                <w:rFonts w:ascii="Calibri" w:hAnsi="Calibri" w:cs="Calibri"/>
              </w:rPr>
              <w:t xml:space="preserve"> (Article 22 (2) and (3))</w:t>
            </w:r>
            <w:r w:rsidRPr="00952D89">
              <w:rPr>
                <w:rFonts w:ascii="Calibri" w:hAnsi="Calibri" w:cs="Calibri"/>
              </w:rPr>
              <w:t>.</w:t>
            </w:r>
            <w:r w:rsidR="00013F1F" w:rsidRPr="00952D89">
              <w:rPr>
                <w:rFonts w:ascii="Calibri" w:hAnsi="Calibri" w:cs="Calibri"/>
              </w:rPr>
              <w:t xml:space="preserve"> </w:t>
            </w:r>
            <w:r w:rsidR="00952D89" w:rsidRPr="00952D89">
              <w:rPr>
                <w:rFonts w:ascii="Calibri" w:hAnsi="Calibri" w:cs="Calibri"/>
              </w:rPr>
              <w:t>Repeated violations may lead to revocation of CBAM authorization (Article 17(8)).</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43C433A" w:rsidR="00092534" w:rsidRPr="00CF2E7C" w:rsidRDefault="005347E0"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637B8F24" w:rsidR="00092534" w:rsidRPr="00CF2E7C" w:rsidRDefault="005347E0" w:rsidP="00CF2E7C">
            <w:pPr>
              <w:rPr>
                <w:rFonts w:ascii="Calibri" w:hAnsi="Calibri" w:cs="Calibri"/>
              </w:rPr>
            </w:pPr>
            <w:r w:rsidRPr="008C446D">
              <w:rPr>
                <w:rFonts w:ascii="Calibri" w:hAnsi="Calibri" w:cs="Calibri"/>
              </w:rPr>
              <w:t xml:space="preserve">As of July 2025, there is no public evidence that the CBAM has been enforced through regulatory disputes, sanctions, or penalties for non-compliance.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3D573B2" w:rsidR="00092534" w:rsidRPr="00CF2E7C" w:rsidRDefault="008C446D"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162F45ED" w:rsidR="00092534" w:rsidRPr="00CF2E7C" w:rsidRDefault="008C446D" w:rsidP="00CF2E7C">
            <w:pPr>
              <w:rPr>
                <w:rFonts w:ascii="Calibri" w:hAnsi="Calibri" w:cs="Calibri"/>
              </w:rPr>
            </w:pPr>
            <w:r w:rsidRPr="008C446D">
              <w:rPr>
                <w:rFonts w:ascii="Calibri" w:hAnsi="Calibri" w:cs="Calibri"/>
              </w:rPr>
              <w:t xml:space="preserve">As of July 2025, there is no public evidence that the CBAM has been enforced through regulatory disputes, sanctions, or penalties for non-compliance.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B746111"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26E68C4B" w:rsidR="00D46B07" w:rsidRPr="00CF2E7C" w:rsidRDefault="00DE49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DE4964"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C957707" w:rsidR="00FD3587" w:rsidRPr="00DE4964" w:rsidRDefault="00DE4964" w:rsidP="00CF2E7C">
            <w:pPr>
              <w:textAlignment w:val="baseline"/>
              <w:rPr>
                <w:rFonts w:ascii="Calibri" w:eastAsia="Times New Roman" w:hAnsi="Calibri" w:cs="Calibri"/>
                <w:kern w:val="0"/>
                <w:lang w:eastAsia="en-GB"/>
                <w14:ligatures w14:val="none"/>
              </w:rPr>
            </w:pPr>
            <w:r w:rsidRPr="00DE4964">
              <w:rPr>
                <w:rFonts w:ascii="Calibri" w:eastAsia="Times New Roman" w:hAnsi="Calibri" w:cs="Calibri"/>
                <w:kern w:val="0"/>
                <w:lang w:eastAsia="en-GB"/>
                <w14:ligatures w14:val="none"/>
              </w:rPr>
              <w:t>While CBAM involves the purchase of certificates, these are not carbon credits. Carbon credits represent the right to emit (or the reduction/removal of) one tonne of CO₂, and they are typically used in compliance or voluntary carbon markets. CBAM certificates, on the other hand, are not tradable emissions rights and do not offset emissions. They are a carbon pricing tool designed to mirror the EU ETS for imported goods, ensuring fair competition. Therefore, CBAM does not fall under any of the listed categories related to carbon credit systems.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50646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597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41A33D64" w:rsidR="00702413" w:rsidRPr="00CF2E7C" w:rsidRDefault="00391D03" w:rsidP="00CF2E7C">
            <w:pPr>
              <w:textAlignment w:val="baseline"/>
              <w:rPr>
                <w:rFonts w:ascii="Calibri" w:eastAsia="Times New Roman" w:hAnsi="Calibri" w:cs="Calibri"/>
                <w:kern w:val="0"/>
                <w:lang w:eastAsia="en-GB"/>
                <w14:ligatures w14:val="none"/>
              </w:rPr>
            </w:pPr>
            <w:r w:rsidRPr="00391D03">
              <w:rPr>
                <w:rFonts w:ascii="Calibri" w:eastAsia="Times New Roman" w:hAnsi="Calibri" w:cs="Calibri"/>
                <w:kern w:val="0"/>
                <w:lang w:eastAsia="en-GB"/>
                <w14:ligatures w14:val="none"/>
              </w:rPr>
              <w:t xml:space="preserve">The Regulation requires the use of a registry to track the issuance, holding, surrender, and cancellation of CBAM certificates (which function similarly to allowances, but are not carbon credits tradable in </w:t>
            </w:r>
            <w:proofErr w:type="gramStart"/>
            <w:r w:rsidRPr="00391D03">
              <w:rPr>
                <w:rFonts w:ascii="Calibri" w:eastAsia="Times New Roman" w:hAnsi="Calibri" w:cs="Calibri"/>
                <w:kern w:val="0"/>
                <w:lang w:eastAsia="en-GB"/>
                <w14:ligatures w14:val="none"/>
              </w:rPr>
              <w:t>markets</w:t>
            </w:r>
            <w:r w:rsidR="005347E0">
              <w:rPr>
                <w:rFonts w:ascii="Calibri" w:eastAsia="Times New Roman" w:hAnsi="Calibri" w:cs="Calibri"/>
                <w:kern w:val="0"/>
                <w:lang w:eastAsia="en-GB"/>
                <w14:ligatures w14:val="none"/>
              </w:rPr>
              <w:t>)</w:t>
            </w:r>
            <w:r w:rsidR="00295910">
              <w:rPr>
                <w:rFonts w:ascii="Calibri" w:eastAsia="Times New Roman" w:hAnsi="Calibri" w:cs="Calibri"/>
                <w:kern w:val="0"/>
                <w:lang w:eastAsia="en-GB"/>
                <w14:ligatures w14:val="none"/>
              </w:rPr>
              <w:t>(</w:t>
            </w:r>
            <w:proofErr w:type="gramEnd"/>
            <w:r w:rsidR="00295910">
              <w:rPr>
                <w:rFonts w:ascii="Calibri" w:eastAsia="Times New Roman" w:hAnsi="Calibri" w:cs="Calibri"/>
                <w:kern w:val="0"/>
                <w:lang w:eastAsia="en-GB"/>
                <w14:ligatures w14:val="none"/>
              </w:rPr>
              <w:t>Article 14)</w:t>
            </w:r>
            <w:r w:rsidR="00892C17">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7230EBF1" w:rsidR="00343937" w:rsidRPr="00CF2E7C" w:rsidRDefault="00391D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 xml:space="preserve">carbon </w:t>
            </w:r>
            <w:r w:rsidRPr="00CF2E7C">
              <w:rPr>
                <w:rFonts w:ascii="Calibri" w:eastAsia="Times New Roman" w:hAnsi="Calibri" w:cs="Calibri"/>
                <w:b/>
                <w:color w:val="7030A0"/>
                <w:kern w:val="0"/>
                <w:lang w:eastAsia="en-GB"/>
                <w14:ligatures w14:val="none"/>
              </w:rPr>
              <w:lastRenderedPageBreak/>
              <w:t>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A72E5C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A128571" w:rsidR="00343937" w:rsidRPr="00CF2E7C" w:rsidRDefault="00FF1E44" w:rsidP="00CF2E7C">
            <w:pPr>
              <w:textAlignment w:val="baseline"/>
              <w:rPr>
                <w:rFonts w:ascii="Calibri" w:eastAsia="Times New Roman" w:hAnsi="Calibri" w:cs="Calibri"/>
                <w:kern w:val="0"/>
                <w:lang w:eastAsia="en-GB"/>
                <w14:ligatures w14:val="none"/>
              </w:rPr>
            </w:pPr>
            <w:r w:rsidRPr="00FF1E44">
              <w:rPr>
                <w:rFonts w:ascii="Calibri" w:eastAsia="Times New Roman" w:hAnsi="Calibri" w:cs="Calibri"/>
                <w:kern w:val="0"/>
                <w:lang w:eastAsia="en-GB"/>
                <w14:ligatures w14:val="none"/>
              </w:rPr>
              <w:t xml:space="preserve">The Regulation does not recommend or require how the financial revenues raised from the sale or surrender of CBAM certificates must be used. There are no provisions in the regulation </w:t>
            </w:r>
            <w:r w:rsidRPr="00FF1E44">
              <w:rPr>
                <w:rFonts w:ascii="Calibri" w:eastAsia="Times New Roman" w:hAnsi="Calibri" w:cs="Calibri"/>
                <w:kern w:val="0"/>
                <w:lang w:eastAsia="en-GB"/>
                <w14:ligatures w14:val="none"/>
              </w:rPr>
              <w:lastRenderedPageBreak/>
              <w:t xml:space="preserve">specifying earmarking, allocation, or use of these revenues for </w:t>
            </w:r>
            <w:proofErr w:type="gramStart"/>
            <w:r w:rsidRPr="00FF1E44">
              <w:rPr>
                <w:rFonts w:ascii="Calibri" w:eastAsia="Times New Roman" w:hAnsi="Calibri" w:cs="Calibri"/>
                <w:kern w:val="0"/>
                <w:lang w:eastAsia="en-GB"/>
                <w14:ligatures w14:val="none"/>
              </w:rPr>
              <w:t>particular purposes</w:t>
            </w:r>
            <w:proofErr w:type="gramEnd"/>
            <w:r w:rsidRPr="00FF1E44">
              <w:rPr>
                <w:rFonts w:ascii="Calibri" w:eastAsia="Times New Roman" w:hAnsi="Calibri" w:cs="Calibri"/>
                <w:kern w:val="0"/>
                <w:lang w:eastAsia="en-GB"/>
                <w14:ligatures w14:val="none"/>
              </w:rPr>
              <w:t xml:space="preserve"> such as climate action, innovation, or compensation.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C649904" w:rsidR="000A6F11" w:rsidRPr="00CF2E7C" w:rsidRDefault="00B538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225DD"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225DD"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F06491" w14:textId="77777777" w:rsidR="00985C11" w:rsidRDefault="00985C11" w:rsidP="00874E39">
      <w:r>
        <w:separator/>
      </w:r>
    </w:p>
  </w:endnote>
  <w:endnote w:type="continuationSeparator" w:id="0">
    <w:p w14:paraId="4CD2B851" w14:textId="77777777" w:rsidR="00985C11" w:rsidRDefault="00985C11" w:rsidP="00874E39">
      <w:r>
        <w:continuationSeparator/>
      </w:r>
    </w:p>
  </w:endnote>
  <w:endnote w:type="continuationNotice" w:id="1">
    <w:p w14:paraId="52D590F4" w14:textId="77777777" w:rsidR="00985C11" w:rsidRDefault="00985C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51EA2B" w14:textId="77777777" w:rsidR="00985C11" w:rsidRDefault="00985C11" w:rsidP="00874E39">
      <w:r>
        <w:separator/>
      </w:r>
    </w:p>
  </w:footnote>
  <w:footnote w:type="continuationSeparator" w:id="0">
    <w:p w14:paraId="17E53313" w14:textId="77777777" w:rsidR="00985C11" w:rsidRDefault="00985C11" w:rsidP="00874E39">
      <w:r>
        <w:continuationSeparator/>
      </w:r>
    </w:p>
  </w:footnote>
  <w:footnote w:type="continuationNotice" w:id="1">
    <w:p w14:paraId="48B1990B" w14:textId="77777777" w:rsidR="00985C11" w:rsidRDefault="00985C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B724B28"/>
    <w:multiLevelType w:val="multilevel"/>
    <w:tmpl w:val="2A9AB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40F26BF"/>
    <w:multiLevelType w:val="multilevel"/>
    <w:tmpl w:val="44C0F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1BD732D1"/>
    <w:multiLevelType w:val="multilevel"/>
    <w:tmpl w:val="8F702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6460546"/>
    <w:multiLevelType w:val="hybridMultilevel"/>
    <w:tmpl w:val="15EC8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3A73A84"/>
    <w:multiLevelType w:val="multilevel"/>
    <w:tmpl w:val="14649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555316D"/>
    <w:multiLevelType w:val="hybridMultilevel"/>
    <w:tmpl w:val="AC82A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4"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5"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6"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7"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8"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4F23417F"/>
    <w:multiLevelType w:val="hybridMultilevel"/>
    <w:tmpl w:val="B1DE03D2"/>
    <w:lvl w:ilvl="0" w:tplc="E9865CB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1"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2"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5" w15:restartNumberingAfterBreak="0">
    <w:nsid w:val="55196FB9"/>
    <w:multiLevelType w:val="multilevel"/>
    <w:tmpl w:val="B0D43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90B3EF2"/>
    <w:multiLevelType w:val="hybridMultilevel"/>
    <w:tmpl w:val="17E620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1"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2"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3"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4"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5" w15:restartNumberingAfterBreak="0">
    <w:nsid w:val="75E94816"/>
    <w:multiLevelType w:val="multilevel"/>
    <w:tmpl w:val="8A8494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770C5A9A"/>
    <w:multiLevelType w:val="multilevel"/>
    <w:tmpl w:val="18E43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9"/>
  </w:num>
  <w:num w:numId="3" w16cid:durableId="690952733">
    <w:abstractNumId w:val="50"/>
  </w:num>
  <w:num w:numId="4" w16cid:durableId="1689330127">
    <w:abstractNumId w:val="1"/>
  </w:num>
  <w:num w:numId="5" w16cid:durableId="401291788">
    <w:abstractNumId w:val="34"/>
  </w:num>
  <w:num w:numId="6" w16cid:durableId="1276788690">
    <w:abstractNumId w:val="17"/>
  </w:num>
  <w:num w:numId="7" w16cid:durableId="566767730">
    <w:abstractNumId w:val="26"/>
  </w:num>
  <w:num w:numId="8" w16cid:durableId="1780710843">
    <w:abstractNumId w:val="41"/>
  </w:num>
  <w:num w:numId="9" w16cid:durableId="1685783054">
    <w:abstractNumId w:val="3"/>
  </w:num>
  <w:num w:numId="10" w16cid:durableId="950551298">
    <w:abstractNumId w:val="37"/>
  </w:num>
  <w:num w:numId="11" w16cid:durableId="1591960799">
    <w:abstractNumId w:val="58"/>
  </w:num>
  <w:num w:numId="12" w16cid:durableId="1344891410">
    <w:abstractNumId w:val="11"/>
  </w:num>
  <w:num w:numId="13" w16cid:durableId="2023899324">
    <w:abstractNumId w:val="14"/>
  </w:num>
  <w:num w:numId="14" w16cid:durableId="430587014">
    <w:abstractNumId w:val="8"/>
  </w:num>
  <w:num w:numId="15" w16cid:durableId="1742869061">
    <w:abstractNumId w:val="36"/>
  </w:num>
  <w:num w:numId="16" w16cid:durableId="1996450437">
    <w:abstractNumId w:val="25"/>
  </w:num>
  <w:num w:numId="17" w16cid:durableId="1529031027">
    <w:abstractNumId w:val="10"/>
  </w:num>
  <w:num w:numId="18" w16cid:durableId="568614617">
    <w:abstractNumId w:val="23"/>
  </w:num>
  <w:num w:numId="19" w16cid:durableId="1530605858">
    <w:abstractNumId w:val="51"/>
  </w:num>
  <w:num w:numId="20" w16cid:durableId="1328172586">
    <w:abstractNumId w:val="19"/>
  </w:num>
  <w:num w:numId="21" w16cid:durableId="184827816">
    <w:abstractNumId w:val="33"/>
  </w:num>
  <w:num w:numId="22" w16cid:durableId="1785346599">
    <w:abstractNumId w:val="40"/>
  </w:num>
  <w:num w:numId="23" w16cid:durableId="1294288901">
    <w:abstractNumId w:val="32"/>
  </w:num>
  <w:num w:numId="24" w16cid:durableId="1603957975">
    <w:abstractNumId w:val="53"/>
  </w:num>
  <w:num w:numId="25" w16cid:durableId="1659531047">
    <w:abstractNumId w:val="52"/>
  </w:num>
  <w:num w:numId="26" w16cid:durableId="752774403">
    <w:abstractNumId w:val="28"/>
  </w:num>
  <w:num w:numId="27" w16cid:durableId="347872198">
    <w:abstractNumId w:val="7"/>
  </w:num>
  <w:num w:numId="28" w16cid:durableId="537133110">
    <w:abstractNumId w:val="15"/>
  </w:num>
  <w:num w:numId="29" w16cid:durableId="1632318729">
    <w:abstractNumId w:val="54"/>
  </w:num>
  <w:num w:numId="30" w16cid:durableId="1268124074">
    <w:abstractNumId w:val="38"/>
  </w:num>
  <w:num w:numId="31" w16cid:durableId="887108748">
    <w:abstractNumId w:val="35"/>
  </w:num>
  <w:num w:numId="32" w16cid:durableId="1826125712">
    <w:abstractNumId w:val="42"/>
  </w:num>
  <w:num w:numId="33" w16cid:durableId="823357978">
    <w:abstractNumId w:val="47"/>
  </w:num>
  <w:num w:numId="34" w16cid:durableId="1092120443">
    <w:abstractNumId w:val="46"/>
  </w:num>
  <w:num w:numId="35" w16cid:durableId="124861188">
    <w:abstractNumId w:val="13"/>
  </w:num>
  <w:num w:numId="36" w16cid:durableId="1952588250">
    <w:abstractNumId w:val="44"/>
  </w:num>
  <w:num w:numId="37" w16cid:durableId="1712027211">
    <w:abstractNumId w:val="4"/>
  </w:num>
  <w:num w:numId="38" w16cid:durableId="2033795929">
    <w:abstractNumId w:val="2"/>
  </w:num>
  <w:num w:numId="39" w16cid:durableId="1238595582">
    <w:abstractNumId w:val="30"/>
  </w:num>
  <w:num w:numId="40" w16cid:durableId="416558262">
    <w:abstractNumId w:val="27"/>
  </w:num>
  <w:num w:numId="41" w16cid:durableId="1543715517">
    <w:abstractNumId w:val="24"/>
  </w:num>
  <w:num w:numId="42" w16cid:durableId="452208391">
    <w:abstractNumId w:val="18"/>
  </w:num>
  <w:num w:numId="43" w16cid:durableId="260340070">
    <w:abstractNumId w:val="0"/>
  </w:num>
  <w:num w:numId="44" w16cid:durableId="1639914969">
    <w:abstractNumId w:val="6"/>
  </w:num>
  <w:num w:numId="45" w16cid:durableId="1554191892">
    <w:abstractNumId w:val="49"/>
  </w:num>
  <w:num w:numId="46" w16cid:durableId="947811845">
    <w:abstractNumId w:val="57"/>
  </w:num>
  <w:num w:numId="47" w16cid:durableId="342588554">
    <w:abstractNumId w:val="31"/>
  </w:num>
  <w:num w:numId="48" w16cid:durableId="318391343">
    <w:abstractNumId w:val="43"/>
  </w:num>
  <w:num w:numId="49" w16cid:durableId="1388991686">
    <w:abstractNumId w:val="39"/>
  </w:num>
  <w:num w:numId="50" w16cid:durableId="1617635841">
    <w:abstractNumId w:val="22"/>
  </w:num>
  <w:num w:numId="51" w16cid:durableId="1532912228">
    <w:abstractNumId w:val="48"/>
  </w:num>
  <w:num w:numId="52" w16cid:durableId="2036347253">
    <w:abstractNumId w:val="55"/>
  </w:num>
  <w:num w:numId="53" w16cid:durableId="1922182262">
    <w:abstractNumId w:val="56"/>
  </w:num>
  <w:num w:numId="54" w16cid:durableId="1734624289">
    <w:abstractNumId w:val="45"/>
  </w:num>
  <w:num w:numId="55" w16cid:durableId="645546386">
    <w:abstractNumId w:val="12"/>
  </w:num>
  <w:num w:numId="56" w16cid:durableId="96563364">
    <w:abstractNumId w:val="16"/>
  </w:num>
  <w:num w:numId="57" w16cid:durableId="164782849">
    <w:abstractNumId w:val="21"/>
  </w:num>
  <w:num w:numId="58" w16cid:durableId="622033236">
    <w:abstractNumId w:val="5"/>
  </w:num>
  <w:num w:numId="59" w16cid:durableId="457769576">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F1F"/>
    <w:rsid w:val="000147A5"/>
    <w:rsid w:val="00016AF3"/>
    <w:rsid w:val="0002126B"/>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3D7"/>
    <w:rsid w:val="000463AE"/>
    <w:rsid w:val="00046B6B"/>
    <w:rsid w:val="00047937"/>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2C0"/>
    <w:rsid w:val="000704DB"/>
    <w:rsid w:val="00071C1F"/>
    <w:rsid w:val="0007502A"/>
    <w:rsid w:val="00075B10"/>
    <w:rsid w:val="00075C46"/>
    <w:rsid w:val="000779A3"/>
    <w:rsid w:val="0008098E"/>
    <w:rsid w:val="00080D39"/>
    <w:rsid w:val="00083507"/>
    <w:rsid w:val="000844F5"/>
    <w:rsid w:val="00084827"/>
    <w:rsid w:val="00084B66"/>
    <w:rsid w:val="0008541F"/>
    <w:rsid w:val="0008646E"/>
    <w:rsid w:val="00086C65"/>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770"/>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3BD"/>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65E1C"/>
    <w:rsid w:val="00172B85"/>
    <w:rsid w:val="0017384F"/>
    <w:rsid w:val="00173D7C"/>
    <w:rsid w:val="0017449C"/>
    <w:rsid w:val="001749C3"/>
    <w:rsid w:val="00176011"/>
    <w:rsid w:val="00180289"/>
    <w:rsid w:val="00182288"/>
    <w:rsid w:val="00182646"/>
    <w:rsid w:val="00183170"/>
    <w:rsid w:val="00184609"/>
    <w:rsid w:val="00185703"/>
    <w:rsid w:val="00185C8C"/>
    <w:rsid w:val="00186C5F"/>
    <w:rsid w:val="001904E6"/>
    <w:rsid w:val="00191059"/>
    <w:rsid w:val="001919D8"/>
    <w:rsid w:val="00191C5B"/>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35A"/>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22F"/>
    <w:rsid w:val="001E5E4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CE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9D3"/>
    <w:rsid w:val="00264CBC"/>
    <w:rsid w:val="0026588F"/>
    <w:rsid w:val="0026642F"/>
    <w:rsid w:val="002679A5"/>
    <w:rsid w:val="0027067C"/>
    <w:rsid w:val="00270A4D"/>
    <w:rsid w:val="00272D9A"/>
    <w:rsid w:val="002737EF"/>
    <w:rsid w:val="00274335"/>
    <w:rsid w:val="00274864"/>
    <w:rsid w:val="00274B22"/>
    <w:rsid w:val="00277FC5"/>
    <w:rsid w:val="00281843"/>
    <w:rsid w:val="00284ADD"/>
    <w:rsid w:val="00285DA7"/>
    <w:rsid w:val="00286683"/>
    <w:rsid w:val="00286FE0"/>
    <w:rsid w:val="002878A1"/>
    <w:rsid w:val="002912CD"/>
    <w:rsid w:val="00295770"/>
    <w:rsid w:val="0029591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75A"/>
    <w:rsid w:val="002B4903"/>
    <w:rsid w:val="002B6C7E"/>
    <w:rsid w:val="002B708A"/>
    <w:rsid w:val="002B7D5C"/>
    <w:rsid w:val="002C060D"/>
    <w:rsid w:val="002C0DCE"/>
    <w:rsid w:val="002C14C2"/>
    <w:rsid w:val="002C169C"/>
    <w:rsid w:val="002C2336"/>
    <w:rsid w:val="002C2DA7"/>
    <w:rsid w:val="002C4B46"/>
    <w:rsid w:val="002C5E2F"/>
    <w:rsid w:val="002C6925"/>
    <w:rsid w:val="002C75E1"/>
    <w:rsid w:val="002C77E1"/>
    <w:rsid w:val="002D22F6"/>
    <w:rsid w:val="002D2A95"/>
    <w:rsid w:val="002D3C0E"/>
    <w:rsid w:val="002D4BBB"/>
    <w:rsid w:val="002D5FEA"/>
    <w:rsid w:val="002D612E"/>
    <w:rsid w:val="002D64FD"/>
    <w:rsid w:val="002D6859"/>
    <w:rsid w:val="002D6A8F"/>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1D"/>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0E1"/>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B64"/>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CA5"/>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D03"/>
    <w:rsid w:val="0039223F"/>
    <w:rsid w:val="00392F82"/>
    <w:rsid w:val="0039353D"/>
    <w:rsid w:val="003937AD"/>
    <w:rsid w:val="00393BA9"/>
    <w:rsid w:val="0039625A"/>
    <w:rsid w:val="003A02A0"/>
    <w:rsid w:val="003A0C73"/>
    <w:rsid w:val="003A144F"/>
    <w:rsid w:val="003A2976"/>
    <w:rsid w:val="003A2E5E"/>
    <w:rsid w:val="003A4A9F"/>
    <w:rsid w:val="003A52E3"/>
    <w:rsid w:val="003A5B03"/>
    <w:rsid w:val="003A6A21"/>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5DDB"/>
    <w:rsid w:val="003D6DA5"/>
    <w:rsid w:val="003E037B"/>
    <w:rsid w:val="003E38C7"/>
    <w:rsid w:val="003E43FE"/>
    <w:rsid w:val="003E6821"/>
    <w:rsid w:val="003E6CD5"/>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725"/>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D6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7E0"/>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68A"/>
    <w:rsid w:val="00553BB6"/>
    <w:rsid w:val="00554079"/>
    <w:rsid w:val="00554093"/>
    <w:rsid w:val="00554F39"/>
    <w:rsid w:val="0055593D"/>
    <w:rsid w:val="005576AE"/>
    <w:rsid w:val="00561537"/>
    <w:rsid w:val="00563224"/>
    <w:rsid w:val="00563432"/>
    <w:rsid w:val="00566FDB"/>
    <w:rsid w:val="00570082"/>
    <w:rsid w:val="00571324"/>
    <w:rsid w:val="00571BA3"/>
    <w:rsid w:val="005722D9"/>
    <w:rsid w:val="005733AF"/>
    <w:rsid w:val="00574C66"/>
    <w:rsid w:val="005758ED"/>
    <w:rsid w:val="00575D67"/>
    <w:rsid w:val="00576C68"/>
    <w:rsid w:val="00576ED8"/>
    <w:rsid w:val="005774C5"/>
    <w:rsid w:val="00580679"/>
    <w:rsid w:val="0058109E"/>
    <w:rsid w:val="00582029"/>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51"/>
    <w:rsid w:val="00596CC5"/>
    <w:rsid w:val="0059772D"/>
    <w:rsid w:val="005A03B5"/>
    <w:rsid w:val="005A2023"/>
    <w:rsid w:val="005A270C"/>
    <w:rsid w:val="005A2821"/>
    <w:rsid w:val="005A2900"/>
    <w:rsid w:val="005A3650"/>
    <w:rsid w:val="005A383B"/>
    <w:rsid w:val="005A4E4C"/>
    <w:rsid w:val="005A54A2"/>
    <w:rsid w:val="005A55F7"/>
    <w:rsid w:val="005A5613"/>
    <w:rsid w:val="005A76C9"/>
    <w:rsid w:val="005B1EB7"/>
    <w:rsid w:val="005B355B"/>
    <w:rsid w:val="005B4539"/>
    <w:rsid w:val="005B481C"/>
    <w:rsid w:val="005C232F"/>
    <w:rsid w:val="005C327C"/>
    <w:rsid w:val="005C4420"/>
    <w:rsid w:val="005C5681"/>
    <w:rsid w:val="005C6A1D"/>
    <w:rsid w:val="005C765C"/>
    <w:rsid w:val="005C7DF6"/>
    <w:rsid w:val="005D02C9"/>
    <w:rsid w:val="005D1868"/>
    <w:rsid w:val="005D342C"/>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CB2"/>
    <w:rsid w:val="00612E55"/>
    <w:rsid w:val="00613220"/>
    <w:rsid w:val="00613384"/>
    <w:rsid w:val="00613C9D"/>
    <w:rsid w:val="00614139"/>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BE6"/>
    <w:rsid w:val="00633E8C"/>
    <w:rsid w:val="0063488C"/>
    <w:rsid w:val="00636096"/>
    <w:rsid w:val="00637FAE"/>
    <w:rsid w:val="0064134E"/>
    <w:rsid w:val="00641484"/>
    <w:rsid w:val="00641E18"/>
    <w:rsid w:val="00641ECB"/>
    <w:rsid w:val="006422ED"/>
    <w:rsid w:val="006450DB"/>
    <w:rsid w:val="0064585A"/>
    <w:rsid w:val="00646CCB"/>
    <w:rsid w:val="00647D9B"/>
    <w:rsid w:val="0065087E"/>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97298"/>
    <w:rsid w:val="006A00E0"/>
    <w:rsid w:val="006A103A"/>
    <w:rsid w:val="006A2168"/>
    <w:rsid w:val="006A21C6"/>
    <w:rsid w:val="006A308E"/>
    <w:rsid w:val="006A3518"/>
    <w:rsid w:val="006A4548"/>
    <w:rsid w:val="006A4C24"/>
    <w:rsid w:val="006A4C9F"/>
    <w:rsid w:val="006A63B5"/>
    <w:rsid w:val="006B07E5"/>
    <w:rsid w:val="006B0C0B"/>
    <w:rsid w:val="006B18CF"/>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B19"/>
    <w:rsid w:val="006D0F88"/>
    <w:rsid w:val="006D261A"/>
    <w:rsid w:val="006D2944"/>
    <w:rsid w:val="006D32CF"/>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6BD"/>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7C2"/>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63F"/>
    <w:rsid w:val="007C2EAF"/>
    <w:rsid w:val="007C32D8"/>
    <w:rsid w:val="007C3BD3"/>
    <w:rsid w:val="007C3CB6"/>
    <w:rsid w:val="007C5200"/>
    <w:rsid w:val="007C77AA"/>
    <w:rsid w:val="007C7C5D"/>
    <w:rsid w:val="007D33C4"/>
    <w:rsid w:val="007D3472"/>
    <w:rsid w:val="007D366D"/>
    <w:rsid w:val="007D397D"/>
    <w:rsid w:val="007D4EBE"/>
    <w:rsid w:val="007D5868"/>
    <w:rsid w:val="007D61F4"/>
    <w:rsid w:val="007D65D1"/>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7F0"/>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671"/>
    <w:rsid w:val="00872A9A"/>
    <w:rsid w:val="008732CE"/>
    <w:rsid w:val="0087393B"/>
    <w:rsid w:val="008747C8"/>
    <w:rsid w:val="00874E39"/>
    <w:rsid w:val="008766C1"/>
    <w:rsid w:val="00877C38"/>
    <w:rsid w:val="00877FBD"/>
    <w:rsid w:val="00880170"/>
    <w:rsid w:val="00880274"/>
    <w:rsid w:val="008812AC"/>
    <w:rsid w:val="00881B8C"/>
    <w:rsid w:val="008835E8"/>
    <w:rsid w:val="008840E5"/>
    <w:rsid w:val="008854D8"/>
    <w:rsid w:val="008857E8"/>
    <w:rsid w:val="00885CB2"/>
    <w:rsid w:val="00886005"/>
    <w:rsid w:val="00887186"/>
    <w:rsid w:val="00887A64"/>
    <w:rsid w:val="00890032"/>
    <w:rsid w:val="0089120B"/>
    <w:rsid w:val="008915CB"/>
    <w:rsid w:val="00891DBD"/>
    <w:rsid w:val="00892C17"/>
    <w:rsid w:val="0089355A"/>
    <w:rsid w:val="00896A1E"/>
    <w:rsid w:val="00897600"/>
    <w:rsid w:val="008A0461"/>
    <w:rsid w:val="008A093D"/>
    <w:rsid w:val="008A1DDE"/>
    <w:rsid w:val="008A207F"/>
    <w:rsid w:val="008A345E"/>
    <w:rsid w:val="008A4685"/>
    <w:rsid w:val="008A50AD"/>
    <w:rsid w:val="008B0F60"/>
    <w:rsid w:val="008B0F8A"/>
    <w:rsid w:val="008B2418"/>
    <w:rsid w:val="008B2612"/>
    <w:rsid w:val="008B4536"/>
    <w:rsid w:val="008B5DC5"/>
    <w:rsid w:val="008B7E8C"/>
    <w:rsid w:val="008B7F82"/>
    <w:rsid w:val="008C07E1"/>
    <w:rsid w:val="008C0FA6"/>
    <w:rsid w:val="008C2AC5"/>
    <w:rsid w:val="008C2E61"/>
    <w:rsid w:val="008C446D"/>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FC1"/>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E7A"/>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D89"/>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C11"/>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C9"/>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751"/>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705"/>
    <w:rsid w:val="00A960E7"/>
    <w:rsid w:val="00A9656E"/>
    <w:rsid w:val="00AA186B"/>
    <w:rsid w:val="00AA38F6"/>
    <w:rsid w:val="00AA4965"/>
    <w:rsid w:val="00AA6DDB"/>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AF7D2D"/>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94B"/>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819"/>
    <w:rsid w:val="00B54876"/>
    <w:rsid w:val="00B559BD"/>
    <w:rsid w:val="00B56945"/>
    <w:rsid w:val="00B610C2"/>
    <w:rsid w:val="00B61B6F"/>
    <w:rsid w:val="00B61D29"/>
    <w:rsid w:val="00B62F6C"/>
    <w:rsid w:val="00B634F2"/>
    <w:rsid w:val="00B653B4"/>
    <w:rsid w:val="00B65F11"/>
    <w:rsid w:val="00B66F87"/>
    <w:rsid w:val="00B673AC"/>
    <w:rsid w:val="00B6777F"/>
    <w:rsid w:val="00B720BA"/>
    <w:rsid w:val="00B733B0"/>
    <w:rsid w:val="00B745B3"/>
    <w:rsid w:val="00B748B5"/>
    <w:rsid w:val="00B74F7D"/>
    <w:rsid w:val="00B75CC2"/>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A80"/>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61E"/>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8F6"/>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5DD"/>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972"/>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921"/>
    <w:rsid w:val="00DE3DC0"/>
    <w:rsid w:val="00DE4964"/>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153"/>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651"/>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64D"/>
    <w:rsid w:val="00E67A04"/>
    <w:rsid w:val="00E70A6A"/>
    <w:rsid w:val="00E71E7C"/>
    <w:rsid w:val="00E727D2"/>
    <w:rsid w:val="00E73270"/>
    <w:rsid w:val="00E7355A"/>
    <w:rsid w:val="00E73663"/>
    <w:rsid w:val="00E738CA"/>
    <w:rsid w:val="00E7486E"/>
    <w:rsid w:val="00E75E25"/>
    <w:rsid w:val="00E76F8F"/>
    <w:rsid w:val="00E81727"/>
    <w:rsid w:val="00E8221C"/>
    <w:rsid w:val="00E83586"/>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5AC"/>
    <w:rsid w:val="00EA4912"/>
    <w:rsid w:val="00EA4E12"/>
    <w:rsid w:val="00EA5D38"/>
    <w:rsid w:val="00EA65D9"/>
    <w:rsid w:val="00EA67B3"/>
    <w:rsid w:val="00EA734B"/>
    <w:rsid w:val="00EA7A7E"/>
    <w:rsid w:val="00EB0EE6"/>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149"/>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43616"/>
    <w:rsid w:val="00F511CC"/>
    <w:rsid w:val="00F51334"/>
    <w:rsid w:val="00F5203B"/>
    <w:rsid w:val="00F526AD"/>
    <w:rsid w:val="00F527B7"/>
    <w:rsid w:val="00F52E73"/>
    <w:rsid w:val="00F52F6F"/>
    <w:rsid w:val="00F53828"/>
    <w:rsid w:val="00F54AFB"/>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070"/>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062"/>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C9F"/>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441"/>
    <w:rsid w:val="00FE4FA5"/>
    <w:rsid w:val="00FE546E"/>
    <w:rsid w:val="00FE6453"/>
    <w:rsid w:val="00FE66B1"/>
    <w:rsid w:val="00FE7713"/>
    <w:rsid w:val="00FE7C66"/>
    <w:rsid w:val="00FE7FA5"/>
    <w:rsid w:val="00FE94C6"/>
    <w:rsid w:val="00FF1E44"/>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755046">
      <w:bodyDiv w:val="1"/>
      <w:marLeft w:val="0"/>
      <w:marRight w:val="0"/>
      <w:marTop w:val="0"/>
      <w:marBottom w:val="0"/>
      <w:divBdr>
        <w:top w:val="none" w:sz="0" w:space="0" w:color="auto"/>
        <w:left w:val="none" w:sz="0" w:space="0" w:color="auto"/>
        <w:bottom w:val="none" w:sz="0" w:space="0" w:color="auto"/>
        <w:right w:val="none" w:sz="0" w:space="0" w:color="auto"/>
      </w:divBdr>
    </w:div>
    <w:div w:id="53047636">
      <w:bodyDiv w:val="1"/>
      <w:marLeft w:val="0"/>
      <w:marRight w:val="0"/>
      <w:marTop w:val="0"/>
      <w:marBottom w:val="0"/>
      <w:divBdr>
        <w:top w:val="none" w:sz="0" w:space="0" w:color="auto"/>
        <w:left w:val="none" w:sz="0" w:space="0" w:color="auto"/>
        <w:bottom w:val="none" w:sz="0" w:space="0" w:color="auto"/>
        <w:right w:val="none" w:sz="0" w:space="0" w:color="auto"/>
      </w:divBdr>
      <w:divsChild>
        <w:div w:id="995455718">
          <w:marLeft w:val="0"/>
          <w:marRight w:val="0"/>
          <w:marTop w:val="0"/>
          <w:marBottom w:val="0"/>
          <w:divBdr>
            <w:top w:val="none" w:sz="0" w:space="0" w:color="auto"/>
            <w:left w:val="none" w:sz="0" w:space="0" w:color="auto"/>
            <w:bottom w:val="none" w:sz="0" w:space="0" w:color="auto"/>
            <w:right w:val="none" w:sz="0" w:space="0" w:color="auto"/>
          </w:divBdr>
        </w:div>
        <w:div w:id="120535329">
          <w:marLeft w:val="0"/>
          <w:marRight w:val="0"/>
          <w:marTop w:val="0"/>
          <w:marBottom w:val="0"/>
          <w:divBdr>
            <w:top w:val="none" w:sz="0" w:space="0" w:color="auto"/>
            <w:left w:val="none" w:sz="0" w:space="0" w:color="auto"/>
            <w:bottom w:val="none" w:sz="0" w:space="0" w:color="auto"/>
            <w:right w:val="none" w:sz="0" w:space="0" w:color="auto"/>
          </w:divBdr>
        </w:div>
        <w:div w:id="1273782816">
          <w:marLeft w:val="0"/>
          <w:marRight w:val="0"/>
          <w:marTop w:val="0"/>
          <w:marBottom w:val="0"/>
          <w:divBdr>
            <w:top w:val="none" w:sz="0" w:space="0" w:color="auto"/>
            <w:left w:val="none" w:sz="0" w:space="0" w:color="auto"/>
            <w:bottom w:val="none" w:sz="0" w:space="0" w:color="auto"/>
            <w:right w:val="none" w:sz="0" w:space="0" w:color="auto"/>
          </w:divBdr>
        </w:div>
      </w:divsChild>
    </w:div>
    <w:div w:id="26465633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8094231">
      <w:bodyDiv w:val="1"/>
      <w:marLeft w:val="0"/>
      <w:marRight w:val="0"/>
      <w:marTop w:val="0"/>
      <w:marBottom w:val="0"/>
      <w:divBdr>
        <w:top w:val="none" w:sz="0" w:space="0" w:color="auto"/>
        <w:left w:val="none" w:sz="0" w:space="0" w:color="auto"/>
        <w:bottom w:val="none" w:sz="0" w:space="0" w:color="auto"/>
        <w:right w:val="none" w:sz="0" w:space="0" w:color="auto"/>
      </w:divBdr>
    </w:div>
    <w:div w:id="666787292">
      <w:bodyDiv w:val="1"/>
      <w:marLeft w:val="0"/>
      <w:marRight w:val="0"/>
      <w:marTop w:val="0"/>
      <w:marBottom w:val="0"/>
      <w:divBdr>
        <w:top w:val="none" w:sz="0" w:space="0" w:color="auto"/>
        <w:left w:val="none" w:sz="0" w:space="0" w:color="auto"/>
        <w:bottom w:val="none" w:sz="0" w:space="0" w:color="auto"/>
        <w:right w:val="none" w:sz="0" w:space="0" w:color="auto"/>
      </w:divBdr>
    </w:div>
    <w:div w:id="75845239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335445">
      <w:bodyDiv w:val="1"/>
      <w:marLeft w:val="0"/>
      <w:marRight w:val="0"/>
      <w:marTop w:val="0"/>
      <w:marBottom w:val="0"/>
      <w:divBdr>
        <w:top w:val="none" w:sz="0" w:space="0" w:color="auto"/>
        <w:left w:val="none" w:sz="0" w:space="0" w:color="auto"/>
        <w:bottom w:val="none" w:sz="0" w:space="0" w:color="auto"/>
        <w:right w:val="none" w:sz="0" w:space="0" w:color="auto"/>
      </w:divBdr>
    </w:div>
    <w:div w:id="87978477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8479118">
      <w:bodyDiv w:val="1"/>
      <w:marLeft w:val="0"/>
      <w:marRight w:val="0"/>
      <w:marTop w:val="0"/>
      <w:marBottom w:val="0"/>
      <w:divBdr>
        <w:top w:val="none" w:sz="0" w:space="0" w:color="auto"/>
        <w:left w:val="none" w:sz="0" w:space="0" w:color="auto"/>
        <w:bottom w:val="none" w:sz="0" w:space="0" w:color="auto"/>
        <w:right w:val="none" w:sz="0" w:space="0" w:color="auto"/>
      </w:divBdr>
      <w:divsChild>
        <w:div w:id="670570373">
          <w:marLeft w:val="0"/>
          <w:marRight w:val="0"/>
          <w:marTop w:val="0"/>
          <w:marBottom w:val="0"/>
          <w:divBdr>
            <w:top w:val="none" w:sz="0" w:space="0" w:color="auto"/>
            <w:left w:val="none" w:sz="0" w:space="0" w:color="auto"/>
            <w:bottom w:val="none" w:sz="0" w:space="0" w:color="auto"/>
            <w:right w:val="none" w:sz="0" w:space="0" w:color="auto"/>
          </w:divBdr>
        </w:div>
        <w:div w:id="1472864921">
          <w:marLeft w:val="0"/>
          <w:marRight w:val="0"/>
          <w:marTop w:val="0"/>
          <w:marBottom w:val="0"/>
          <w:divBdr>
            <w:top w:val="none" w:sz="0" w:space="0" w:color="auto"/>
            <w:left w:val="none" w:sz="0" w:space="0" w:color="auto"/>
            <w:bottom w:val="none" w:sz="0" w:space="0" w:color="auto"/>
            <w:right w:val="none" w:sz="0" w:space="0" w:color="auto"/>
          </w:divBdr>
        </w:div>
        <w:div w:id="1368872448">
          <w:marLeft w:val="0"/>
          <w:marRight w:val="0"/>
          <w:marTop w:val="0"/>
          <w:marBottom w:val="0"/>
          <w:divBdr>
            <w:top w:val="none" w:sz="0" w:space="0" w:color="auto"/>
            <w:left w:val="none" w:sz="0" w:space="0" w:color="auto"/>
            <w:bottom w:val="none" w:sz="0" w:space="0" w:color="auto"/>
            <w:right w:val="none" w:sz="0" w:space="0" w:color="auto"/>
          </w:divBdr>
        </w:div>
      </w:divsChild>
    </w:div>
    <w:div w:id="1403596557">
      <w:bodyDiv w:val="1"/>
      <w:marLeft w:val="0"/>
      <w:marRight w:val="0"/>
      <w:marTop w:val="0"/>
      <w:marBottom w:val="0"/>
      <w:divBdr>
        <w:top w:val="none" w:sz="0" w:space="0" w:color="auto"/>
        <w:left w:val="none" w:sz="0" w:space="0" w:color="auto"/>
        <w:bottom w:val="none" w:sz="0" w:space="0" w:color="auto"/>
        <w:right w:val="none" w:sz="0" w:space="0" w:color="auto"/>
      </w:divBdr>
    </w:div>
    <w:div w:id="1445926459">
      <w:bodyDiv w:val="1"/>
      <w:marLeft w:val="0"/>
      <w:marRight w:val="0"/>
      <w:marTop w:val="0"/>
      <w:marBottom w:val="0"/>
      <w:divBdr>
        <w:top w:val="none" w:sz="0" w:space="0" w:color="auto"/>
        <w:left w:val="none" w:sz="0" w:space="0" w:color="auto"/>
        <w:bottom w:val="none" w:sz="0" w:space="0" w:color="auto"/>
        <w:right w:val="none" w:sz="0" w:space="0" w:color="auto"/>
      </w:divBdr>
    </w:div>
    <w:div w:id="1523084247">
      <w:bodyDiv w:val="1"/>
      <w:marLeft w:val="0"/>
      <w:marRight w:val="0"/>
      <w:marTop w:val="0"/>
      <w:marBottom w:val="0"/>
      <w:divBdr>
        <w:top w:val="none" w:sz="0" w:space="0" w:color="auto"/>
        <w:left w:val="none" w:sz="0" w:space="0" w:color="auto"/>
        <w:bottom w:val="none" w:sz="0" w:space="0" w:color="auto"/>
        <w:right w:val="none" w:sz="0" w:space="0" w:color="auto"/>
      </w:divBdr>
    </w:div>
    <w:div w:id="1609778393">
      <w:bodyDiv w:val="1"/>
      <w:marLeft w:val="0"/>
      <w:marRight w:val="0"/>
      <w:marTop w:val="0"/>
      <w:marBottom w:val="0"/>
      <w:divBdr>
        <w:top w:val="none" w:sz="0" w:space="0" w:color="auto"/>
        <w:left w:val="none" w:sz="0" w:space="0" w:color="auto"/>
        <w:bottom w:val="none" w:sz="0" w:space="0" w:color="auto"/>
        <w:right w:val="none" w:sz="0" w:space="0" w:color="auto"/>
      </w:divBdr>
    </w:div>
    <w:div w:id="1632787248">
      <w:bodyDiv w:val="1"/>
      <w:marLeft w:val="0"/>
      <w:marRight w:val="0"/>
      <w:marTop w:val="0"/>
      <w:marBottom w:val="0"/>
      <w:divBdr>
        <w:top w:val="none" w:sz="0" w:space="0" w:color="auto"/>
        <w:left w:val="none" w:sz="0" w:space="0" w:color="auto"/>
        <w:bottom w:val="none" w:sz="0" w:space="0" w:color="auto"/>
        <w:right w:val="none" w:sz="0" w:space="0" w:color="auto"/>
      </w:divBdr>
    </w:div>
    <w:div w:id="166974946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8200620">
      <w:bodyDiv w:val="1"/>
      <w:marLeft w:val="0"/>
      <w:marRight w:val="0"/>
      <w:marTop w:val="0"/>
      <w:marBottom w:val="0"/>
      <w:divBdr>
        <w:top w:val="none" w:sz="0" w:space="0" w:color="auto"/>
        <w:left w:val="none" w:sz="0" w:space="0" w:color="auto"/>
        <w:bottom w:val="none" w:sz="0" w:space="0" w:color="auto"/>
        <w:right w:val="none" w:sz="0" w:space="0" w:color="auto"/>
      </w:divBdr>
    </w:div>
    <w:div w:id="1936786805">
      <w:bodyDiv w:val="1"/>
      <w:marLeft w:val="0"/>
      <w:marRight w:val="0"/>
      <w:marTop w:val="0"/>
      <w:marBottom w:val="0"/>
      <w:divBdr>
        <w:top w:val="none" w:sz="0" w:space="0" w:color="auto"/>
        <w:left w:val="none" w:sz="0" w:space="0" w:color="auto"/>
        <w:bottom w:val="none" w:sz="0" w:space="0" w:color="auto"/>
        <w:right w:val="none" w:sz="0" w:space="0" w:color="auto"/>
      </w:divBdr>
    </w:div>
    <w:div w:id="205457131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eli/reg/2023/956/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purl.org/dc/dcmitype/"/>
    <ds:schemaRef ds:uri="http://purl.org/dc/elements/1.1/"/>
    <ds:schemaRef ds:uri="http://purl.org/dc/terms/"/>
    <ds:schemaRef ds:uri="http://schemas.microsoft.com/office/2006/documentManagement/types"/>
    <ds:schemaRef ds:uri="c3602c21-e7c0-460f-98aa-ced99acbd232"/>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578C4BBC-F12F-481E-80FC-3278201913FA}"/>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392</TotalTime>
  <Pages>112</Pages>
  <Words>21931</Words>
  <Characters>130709</Characters>
  <Application>Microsoft Office Word</Application>
  <DocSecurity>0</DocSecurity>
  <Lines>8713</Lines>
  <Paragraphs>4923</Paragraphs>
  <ScaleCrop>false</ScaleCrop>
  <Company/>
  <LinksUpToDate>false</LinksUpToDate>
  <CharactersWithSpaces>147717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99</cp:revision>
  <cp:lastPrinted>2025-03-21T00:14:00Z</cp:lastPrinted>
  <dcterms:created xsi:type="dcterms:W3CDTF">2025-06-19T08:59:00Z</dcterms:created>
  <dcterms:modified xsi:type="dcterms:W3CDTF">2025-07-27T15:48:00Z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